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sz w:val="2"/>
          <w:lang w:eastAsia="en-US"/>
        </w:rPr>
        <w:id w:val="-49384531"/>
        <w:docPartObj>
          <w:docPartGallery w:val="Cover Pages"/>
          <w:docPartUnique/>
        </w:docPartObj>
      </w:sdtPr>
      <w:sdtEndPr>
        <w:rPr>
          <w:rFonts w:ascii="Cambria" w:hAnsi="Cambria" w:cs="HelveticaNeue-Roman"/>
          <w:b/>
          <w:color w:val="002060"/>
          <w:sz w:val="40"/>
          <w:szCs w:val="19"/>
        </w:rPr>
      </w:sdtEndPr>
      <w:sdtContent>
        <w:p w:rsidR="0073328F" w:rsidRDefault="0073328F">
          <w:pPr>
            <w:pStyle w:val="Sinespaciado"/>
            <w:rPr>
              <w:sz w:val="2"/>
            </w:rPr>
          </w:pPr>
        </w:p>
        <w:p w:rsidR="0073328F" w:rsidRDefault="0073328F"/>
        <w:p w:rsidR="0073328F" w:rsidRDefault="00CD7485">
          <w:pPr>
            <w:rPr>
              <w:rFonts w:ascii="Cambria" w:hAnsi="Cambria" w:cs="HelveticaNeue-Roman"/>
              <w:b/>
              <w:color w:val="002060"/>
              <w:sz w:val="40"/>
              <w:szCs w:val="19"/>
            </w:rPr>
          </w:pPr>
        </w:p>
      </w:sdtContent>
    </w:sdt>
    <w:p w:rsidR="0073328F" w:rsidRDefault="0073328F" w:rsidP="00502894">
      <w:pPr>
        <w:autoSpaceDE w:val="0"/>
        <w:autoSpaceDN w:val="0"/>
        <w:adjustRightInd w:val="0"/>
        <w:spacing w:after="0" w:line="240" w:lineRule="auto"/>
        <w:jc w:val="center"/>
        <w:rPr>
          <w:rFonts w:ascii="Cambria" w:hAnsi="Cambria" w:cs="HelveticaNeue-Roman"/>
          <w:b/>
          <w:color w:val="002060"/>
          <w:sz w:val="40"/>
          <w:szCs w:val="19"/>
        </w:rPr>
      </w:pPr>
      <w:r>
        <w:rPr>
          <w:noProof/>
          <w:color w:val="5B9BD5" w:themeColor="accent1"/>
          <w:sz w:val="36"/>
          <w:szCs w:val="36"/>
          <w:lang w:eastAsia="es-ES"/>
        </w:rPr>
        <w:drawing>
          <wp:anchor distT="0" distB="0" distL="114300" distR="114300" simplePos="0" relativeHeight="251661312" behindDoc="1" locked="0" layoutInCell="1" allowOverlap="1" wp14:anchorId="296527AC" wp14:editId="28AFB3A6">
            <wp:simplePos x="0" y="0"/>
            <wp:positionH relativeFrom="column">
              <wp:posOffset>-89535</wp:posOffset>
            </wp:positionH>
            <wp:positionV relativeFrom="paragraph">
              <wp:posOffset>522250</wp:posOffset>
            </wp:positionV>
            <wp:extent cx="5886450" cy="3308705"/>
            <wp:effectExtent l="0" t="0" r="0" b="635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 CONVOCATORIA PRENSA ANUARIO 202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94647" cy="3313312"/>
                    </a:xfrm>
                    <a:prstGeom prst="rect">
                      <a:avLst/>
                    </a:prstGeom>
                  </pic:spPr>
                </pic:pic>
              </a:graphicData>
            </a:graphic>
            <wp14:sizeRelH relativeFrom="page">
              <wp14:pctWidth>0</wp14:pctWidth>
            </wp14:sizeRelH>
            <wp14:sizeRelV relativeFrom="page">
              <wp14:pctHeight>0</wp14:pctHeight>
            </wp14:sizeRelV>
          </wp:anchor>
        </w:drawing>
      </w:r>
      <w:r w:rsidR="00502894">
        <w:rPr>
          <w:rFonts w:ascii="Cambria" w:hAnsi="Cambria" w:cs="HelveticaNeue-Roman"/>
          <w:b/>
          <w:color w:val="002060"/>
          <w:sz w:val="40"/>
          <w:szCs w:val="19"/>
        </w:rPr>
        <w:br/>
      </w:r>
      <w:r w:rsidR="00502894">
        <w:rPr>
          <w:rFonts w:ascii="Cambria" w:hAnsi="Cambria" w:cs="HelveticaNeue-Roman"/>
          <w:b/>
          <w:color w:val="002060"/>
          <w:sz w:val="40"/>
          <w:szCs w:val="19"/>
        </w:rPr>
        <w:br/>
      </w:r>
    </w:p>
    <w:p w:rsidR="0073328F" w:rsidRDefault="0073328F" w:rsidP="00502894">
      <w:pPr>
        <w:autoSpaceDE w:val="0"/>
        <w:autoSpaceDN w:val="0"/>
        <w:adjustRightInd w:val="0"/>
        <w:spacing w:after="0" w:line="240" w:lineRule="auto"/>
        <w:jc w:val="center"/>
        <w:rPr>
          <w:rFonts w:ascii="Cambria" w:hAnsi="Cambria" w:cs="HelveticaNeue-Roman"/>
          <w:b/>
          <w:color w:val="002060"/>
          <w:sz w:val="40"/>
          <w:szCs w:val="19"/>
        </w:rPr>
      </w:pPr>
    </w:p>
    <w:p w:rsidR="0073328F" w:rsidRDefault="0073328F" w:rsidP="00502894">
      <w:pPr>
        <w:autoSpaceDE w:val="0"/>
        <w:autoSpaceDN w:val="0"/>
        <w:adjustRightInd w:val="0"/>
        <w:spacing w:after="0" w:line="240" w:lineRule="auto"/>
        <w:jc w:val="center"/>
        <w:rPr>
          <w:rFonts w:ascii="Cambria" w:hAnsi="Cambria" w:cs="HelveticaNeue-Roman"/>
          <w:b/>
          <w:color w:val="002060"/>
          <w:sz w:val="40"/>
          <w:szCs w:val="19"/>
        </w:rPr>
      </w:pPr>
    </w:p>
    <w:p w:rsidR="0073328F" w:rsidRDefault="0073328F" w:rsidP="00502894">
      <w:pPr>
        <w:autoSpaceDE w:val="0"/>
        <w:autoSpaceDN w:val="0"/>
        <w:adjustRightInd w:val="0"/>
        <w:spacing w:after="0" w:line="240" w:lineRule="auto"/>
        <w:jc w:val="center"/>
        <w:rPr>
          <w:rFonts w:ascii="Cambria" w:hAnsi="Cambria" w:cs="HelveticaNeue-Roman"/>
          <w:b/>
          <w:color w:val="002060"/>
          <w:sz w:val="40"/>
          <w:szCs w:val="19"/>
        </w:rPr>
      </w:pPr>
    </w:p>
    <w:p w:rsidR="0073328F" w:rsidRDefault="0073328F" w:rsidP="00502894">
      <w:pPr>
        <w:autoSpaceDE w:val="0"/>
        <w:autoSpaceDN w:val="0"/>
        <w:adjustRightInd w:val="0"/>
        <w:spacing w:after="0" w:line="240" w:lineRule="auto"/>
        <w:jc w:val="center"/>
        <w:rPr>
          <w:rFonts w:ascii="Cambria" w:hAnsi="Cambria" w:cs="HelveticaNeue-Roman"/>
          <w:b/>
          <w:color w:val="002060"/>
          <w:sz w:val="40"/>
          <w:szCs w:val="19"/>
        </w:rPr>
      </w:pPr>
    </w:p>
    <w:p w:rsidR="0073328F" w:rsidRDefault="0073328F" w:rsidP="00502894">
      <w:pPr>
        <w:autoSpaceDE w:val="0"/>
        <w:autoSpaceDN w:val="0"/>
        <w:adjustRightInd w:val="0"/>
        <w:spacing w:after="0" w:line="240" w:lineRule="auto"/>
        <w:jc w:val="center"/>
        <w:rPr>
          <w:rFonts w:ascii="Cambria" w:hAnsi="Cambria" w:cs="HelveticaNeue-Roman"/>
          <w:b/>
          <w:color w:val="002060"/>
          <w:sz w:val="40"/>
          <w:szCs w:val="19"/>
        </w:rPr>
      </w:pPr>
    </w:p>
    <w:p w:rsidR="0073328F" w:rsidRDefault="0073328F" w:rsidP="00502894">
      <w:pPr>
        <w:autoSpaceDE w:val="0"/>
        <w:autoSpaceDN w:val="0"/>
        <w:adjustRightInd w:val="0"/>
        <w:spacing w:after="0" w:line="240" w:lineRule="auto"/>
        <w:jc w:val="center"/>
        <w:rPr>
          <w:rFonts w:ascii="Cambria" w:hAnsi="Cambria" w:cs="HelveticaNeue-Roman"/>
          <w:b/>
          <w:color w:val="002060"/>
          <w:sz w:val="40"/>
          <w:szCs w:val="19"/>
        </w:rPr>
      </w:pPr>
    </w:p>
    <w:p w:rsidR="0073328F" w:rsidRDefault="0073328F" w:rsidP="00502894">
      <w:pPr>
        <w:autoSpaceDE w:val="0"/>
        <w:autoSpaceDN w:val="0"/>
        <w:adjustRightInd w:val="0"/>
        <w:spacing w:after="0" w:line="240" w:lineRule="auto"/>
        <w:jc w:val="center"/>
        <w:rPr>
          <w:rFonts w:ascii="Cambria" w:hAnsi="Cambria" w:cs="HelveticaNeue-Roman"/>
          <w:b/>
          <w:color w:val="002060"/>
          <w:sz w:val="40"/>
          <w:szCs w:val="19"/>
        </w:rPr>
      </w:pPr>
    </w:p>
    <w:p w:rsidR="0073328F" w:rsidRDefault="0073328F" w:rsidP="00502894">
      <w:pPr>
        <w:autoSpaceDE w:val="0"/>
        <w:autoSpaceDN w:val="0"/>
        <w:adjustRightInd w:val="0"/>
        <w:spacing w:after="0" w:line="240" w:lineRule="auto"/>
        <w:jc w:val="center"/>
        <w:rPr>
          <w:rFonts w:ascii="Cambria" w:hAnsi="Cambria" w:cs="HelveticaNeue-Roman"/>
          <w:b/>
          <w:color w:val="002060"/>
          <w:sz w:val="40"/>
          <w:szCs w:val="19"/>
        </w:rPr>
      </w:pPr>
    </w:p>
    <w:p w:rsidR="0073328F" w:rsidRDefault="0073328F" w:rsidP="00502894">
      <w:pPr>
        <w:autoSpaceDE w:val="0"/>
        <w:autoSpaceDN w:val="0"/>
        <w:adjustRightInd w:val="0"/>
        <w:spacing w:after="0" w:line="240" w:lineRule="auto"/>
        <w:jc w:val="center"/>
        <w:rPr>
          <w:rFonts w:ascii="Cambria" w:hAnsi="Cambria" w:cs="HelveticaNeue-Roman"/>
          <w:b/>
          <w:color w:val="002060"/>
          <w:sz w:val="40"/>
          <w:szCs w:val="19"/>
        </w:rPr>
      </w:pPr>
    </w:p>
    <w:p w:rsidR="0073328F" w:rsidRDefault="0073328F" w:rsidP="00502894">
      <w:pPr>
        <w:autoSpaceDE w:val="0"/>
        <w:autoSpaceDN w:val="0"/>
        <w:adjustRightInd w:val="0"/>
        <w:spacing w:after="0" w:line="240" w:lineRule="auto"/>
        <w:jc w:val="center"/>
        <w:rPr>
          <w:rFonts w:ascii="Cambria" w:hAnsi="Cambria" w:cs="HelveticaNeue-Roman"/>
          <w:b/>
          <w:color w:val="002060"/>
          <w:sz w:val="40"/>
          <w:szCs w:val="19"/>
        </w:rPr>
      </w:pPr>
    </w:p>
    <w:p w:rsidR="0073328F" w:rsidRDefault="0073328F" w:rsidP="00502894">
      <w:pPr>
        <w:autoSpaceDE w:val="0"/>
        <w:autoSpaceDN w:val="0"/>
        <w:adjustRightInd w:val="0"/>
        <w:spacing w:after="0" w:line="240" w:lineRule="auto"/>
        <w:jc w:val="center"/>
        <w:rPr>
          <w:rFonts w:ascii="Cambria" w:hAnsi="Cambria" w:cs="HelveticaNeue-Roman"/>
          <w:b/>
          <w:color w:val="002060"/>
          <w:sz w:val="40"/>
          <w:szCs w:val="19"/>
        </w:rPr>
      </w:pPr>
    </w:p>
    <w:p w:rsidR="0073328F" w:rsidRDefault="0073328F" w:rsidP="00502894">
      <w:pPr>
        <w:autoSpaceDE w:val="0"/>
        <w:autoSpaceDN w:val="0"/>
        <w:adjustRightInd w:val="0"/>
        <w:spacing w:after="0" w:line="240" w:lineRule="auto"/>
        <w:jc w:val="center"/>
        <w:rPr>
          <w:rFonts w:ascii="Cambria" w:hAnsi="Cambria" w:cs="HelveticaNeue-Roman"/>
          <w:b/>
          <w:color w:val="002060"/>
          <w:sz w:val="40"/>
          <w:szCs w:val="19"/>
        </w:rPr>
      </w:pPr>
    </w:p>
    <w:p w:rsidR="0073328F" w:rsidRDefault="0073328F" w:rsidP="00502894">
      <w:pPr>
        <w:autoSpaceDE w:val="0"/>
        <w:autoSpaceDN w:val="0"/>
        <w:adjustRightInd w:val="0"/>
        <w:spacing w:after="0" w:line="240" w:lineRule="auto"/>
        <w:jc w:val="center"/>
        <w:rPr>
          <w:rFonts w:ascii="Cambria" w:hAnsi="Cambria" w:cs="HelveticaNeue-Roman"/>
          <w:b/>
          <w:color w:val="002060"/>
          <w:sz w:val="40"/>
          <w:szCs w:val="19"/>
        </w:rPr>
      </w:pPr>
    </w:p>
    <w:p w:rsidR="0073328F" w:rsidRDefault="0073328F" w:rsidP="00502894">
      <w:pPr>
        <w:autoSpaceDE w:val="0"/>
        <w:autoSpaceDN w:val="0"/>
        <w:adjustRightInd w:val="0"/>
        <w:spacing w:after="0" w:line="240" w:lineRule="auto"/>
        <w:jc w:val="center"/>
        <w:rPr>
          <w:rFonts w:ascii="Cambria" w:hAnsi="Cambria" w:cs="HelveticaNeue-Roman"/>
          <w:b/>
          <w:color w:val="002060"/>
          <w:sz w:val="40"/>
          <w:szCs w:val="19"/>
        </w:rPr>
      </w:pPr>
    </w:p>
    <w:p w:rsidR="0073328F" w:rsidRDefault="0073328F" w:rsidP="0073328F">
      <w:pPr>
        <w:jc w:val="center"/>
        <w:rPr>
          <w:rFonts w:ascii="Cambria" w:hAnsi="Cambria" w:cs="HelveticaNeue-Roman"/>
          <w:b/>
          <w:color w:val="002060"/>
          <w:sz w:val="40"/>
          <w:szCs w:val="19"/>
        </w:rPr>
      </w:pPr>
      <w:r>
        <w:rPr>
          <w:rFonts w:ascii="Cambria" w:hAnsi="Cambria" w:cs="HelveticaNeue-Roman"/>
          <w:b/>
          <w:color w:val="002060"/>
          <w:sz w:val="40"/>
          <w:szCs w:val="19"/>
        </w:rPr>
        <w:t>Dosier de prensa</w:t>
      </w:r>
    </w:p>
    <w:p w:rsidR="0073328F" w:rsidRDefault="0073328F" w:rsidP="00502894">
      <w:pPr>
        <w:autoSpaceDE w:val="0"/>
        <w:autoSpaceDN w:val="0"/>
        <w:adjustRightInd w:val="0"/>
        <w:spacing w:after="0" w:line="240" w:lineRule="auto"/>
        <w:jc w:val="center"/>
        <w:rPr>
          <w:rFonts w:ascii="Cambria" w:hAnsi="Cambria" w:cs="HelveticaNeue-Roman"/>
          <w:b/>
          <w:color w:val="002060"/>
          <w:sz w:val="40"/>
          <w:szCs w:val="19"/>
        </w:rPr>
      </w:pPr>
    </w:p>
    <w:p w:rsidR="0073328F" w:rsidRDefault="0073328F" w:rsidP="00502894">
      <w:pPr>
        <w:autoSpaceDE w:val="0"/>
        <w:autoSpaceDN w:val="0"/>
        <w:adjustRightInd w:val="0"/>
        <w:spacing w:after="0" w:line="240" w:lineRule="auto"/>
        <w:jc w:val="center"/>
        <w:rPr>
          <w:rFonts w:ascii="Cambria" w:hAnsi="Cambria" w:cs="HelveticaNeue-Roman"/>
          <w:b/>
          <w:color w:val="002060"/>
          <w:sz w:val="40"/>
          <w:szCs w:val="19"/>
        </w:rPr>
      </w:pPr>
    </w:p>
    <w:p w:rsidR="0073328F" w:rsidRDefault="0073328F" w:rsidP="00502894">
      <w:pPr>
        <w:autoSpaceDE w:val="0"/>
        <w:autoSpaceDN w:val="0"/>
        <w:adjustRightInd w:val="0"/>
        <w:spacing w:after="0" w:line="240" w:lineRule="auto"/>
        <w:jc w:val="center"/>
        <w:rPr>
          <w:rFonts w:ascii="Cambria" w:hAnsi="Cambria" w:cs="HelveticaNeue-Roman"/>
          <w:b/>
          <w:color w:val="002060"/>
          <w:sz w:val="40"/>
          <w:szCs w:val="19"/>
        </w:rPr>
      </w:pPr>
    </w:p>
    <w:p w:rsidR="0073328F" w:rsidRDefault="0073328F" w:rsidP="00502894">
      <w:pPr>
        <w:autoSpaceDE w:val="0"/>
        <w:autoSpaceDN w:val="0"/>
        <w:adjustRightInd w:val="0"/>
        <w:spacing w:after="0" w:line="240" w:lineRule="auto"/>
        <w:jc w:val="center"/>
        <w:rPr>
          <w:rFonts w:ascii="Cambria" w:hAnsi="Cambria" w:cs="HelveticaNeue-Roman"/>
          <w:b/>
          <w:color w:val="002060"/>
          <w:sz w:val="40"/>
          <w:szCs w:val="19"/>
        </w:rPr>
      </w:pPr>
    </w:p>
    <w:p w:rsidR="0073328F" w:rsidRDefault="0073328F" w:rsidP="00502894">
      <w:pPr>
        <w:autoSpaceDE w:val="0"/>
        <w:autoSpaceDN w:val="0"/>
        <w:adjustRightInd w:val="0"/>
        <w:spacing w:after="0" w:line="240" w:lineRule="auto"/>
        <w:jc w:val="center"/>
        <w:rPr>
          <w:rFonts w:ascii="Cambria" w:hAnsi="Cambria" w:cs="HelveticaNeue-Roman"/>
          <w:b/>
          <w:color w:val="002060"/>
          <w:sz w:val="40"/>
          <w:szCs w:val="19"/>
        </w:rPr>
      </w:pPr>
    </w:p>
    <w:p w:rsidR="0073328F" w:rsidRDefault="0073328F" w:rsidP="00502894">
      <w:pPr>
        <w:autoSpaceDE w:val="0"/>
        <w:autoSpaceDN w:val="0"/>
        <w:adjustRightInd w:val="0"/>
        <w:spacing w:after="0" w:line="240" w:lineRule="auto"/>
        <w:jc w:val="center"/>
        <w:rPr>
          <w:rFonts w:ascii="Cambria" w:hAnsi="Cambria" w:cs="HelveticaNeue-Roman"/>
          <w:b/>
          <w:color w:val="002060"/>
          <w:sz w:val="40"/>
          <w:szCs w:val="19"/>
        </w:rPr>
      </w:pPr>
    </w:p>
    <w:p w:rsidR="0073328F" w:rsidRDefault="0073328F" w:rsidP="00502894">
      <w:pPr>
        <w:autoSpaceDE w:val="0"/>
        <w:autoSpaceDN w:val="0"/>
        <w:adjustRightInd w:val="0"/>
        <w:spacing w:after="0" w:line="240" w:lineRule="auto"/>
        <w:jc w:val="center"/>
        <w:rPr>
          <w:rFonts w:ascii="Cambria" w:hAnsi="Cambria" w:cs="HelveticaNeue-Roman"/>
          <w:b/>
          <w:color w:val="002060"/>
          <w:sz w:val="40"/>
          <w:szCs w:val="19"/>
        </w:rPr>
      </w:pPr>
    </w:p>
    <w:p w:rsidR="0073328F" w:rsidRDefault="0073328F" w:rsidP="00502894">
      <w:pPr>
        <w:autoSpaceDE w:val="0"/>
        <w:autoSpaceDN w:val="0"/>
        <w:adjustRightInd w:val="0"/>
        <w:spacing w:after="0" w:line="240" w:lineRule="auto"/>
        <w:jc w:val="center"/>
        <w:rPr>
          <w:rFonts w:ascii="Cambria" w:hAnsi="Cambria" w:cs="HelveticaNeue-Roman"/>
          <w:b/>
          <w:color w:val="002060"/>
          <w:sz w:val="40"/>
          <w:szCs w:val="19"/>
        </w:rPr>
      </w:pPr>
    </w:p>
    <w:p w:rsidR="0073328F" w:rsidRDefault="0073328F" w:rsidP="00502894">
      <w:pPr>
        <w:autoSpaceDE w:val="0"/>
        <w:autoSpaceDN w:val="0"/>
        <w:adjustRightInd w:val="0"/>
        <w:spacing w:after="0" w:line="240" w:lineRule="auto"/>
        <w:jc w:val="center"/>
        <w:rPr>
          <w:rFonts w:ascii="Cambria" w:hAnsi="Cambria" w:cs="HelveticaNeue-Roman"/>
          <w:b/>
          <w:color w:val="002060"/>
          <w:sz w:val="40"/>
          <w:szCs w:val="19"/>
        </w:rPr>
      </w:pPr>
    </w:p>
    <w:p w:rsidR="009829EF" w:rsidRPr="00502894" w:rsidRDefault="0073328F" w:rsidP="00502894">
      <w:pPr>
        <w:autoSpaceDE w:val="0"/>
        <w:autoSpaceDN w:val="0"/>
        <w:adjustRightInd w:val="0"/>
        <w:spacing w:after="0" w:line="240" w:lineRule="auto"/>
        <w:jc w:val="center"/>
        <w:rPr>
          <w:rFonts w:ascii="Cambria" w:hAnsi="Cambria" w:cs="HelveticaNeue-Roman"/>
          <w:b/>
          <w:color w:val="002060"/>
          <w:sz w:val="40"/>
          <w:szCs w:val="19"/>
        </w:rPr>
      </w:pPr>
      <w:r>
        <w:rPr>
          <w:rFonts w:ascii="Cambria" w:hAnsi="Cambria" w:cs="HelveticaNeue-Roman"/>
          <w:b/>
          <w:color w:val="002060"/>
          <w:sz w:val="40"/>
          <w:szCs w:val="19"/>
        </w:rPr>
        <w:lastRenderedPageBreak/>
        <w:br/>
      </w:r>
      <w:r>
        <w:rPr>
          <w:rFonts w:ascii="Cambria" w:hAnsi="Cambria" w:cs="HelveticaNeue-Roman"/>
          <w:b/>
          <w:color w:val="002060"/>
          <w:sz w:val="40"/>
          <w:szCs w:val="19"/>
        </w:rPr>
        <w:br/>
      </w:r>
      <w:r w:rsidR="00016D4B" w:rsidRPr="00502894">
        <w:rPr>
          <w:rFonts w:ascii="Cambria" w:hAnsi="Cambria" w:cs="HelveticaNeue-Roman"/>
          <w:b/>
          <w:color w:val="002060"/>
          <w:sz w:val="40"/>
          <w:szCs w:val="19"/>
        </w:rPr>
        <w:t>El sector</w:t>
      </w:r>
      <w:r w:rsidR="009829EF" w:rsidRPr="00502894">
        <w:rPr>
          <w:rFonts w:ascii="Cambria" w:hAnsi="Cambria" w:cs="HelveticaNeue-Roman"/>
          <w:b/>
          <w:color w:val="002060"/>
          <w:sz w:val="40"/>
          <w:szCs w:val="19"/>
        </w:rPr>
        <w:t xml:space="preserve"> cultural </w:t>
      </w:r>
      <w:r w:rsidR="00016D4B" w:rsidRPr="00502894">
        <w:rPr>
          <w:rFonts w:ascii="Cambria" w:hAnsi="Cambria" w:cs="HelveticaNeue-Roman"/>
          <w:b/>
          <w:color w:val="002060"/>
          <w:sz w:val="40"/>
          <w:szCs w:val="19"/>
        </w:rPr>
        <w:t xml:space="preserve">pierde </w:t>
      </w:r>
      <w:r w:rsidR="00502894">
        <w:rPr>
          <w:rFonts w:ascii="Cambria" w:hAnsi="Cambria" w:cs="HelveticaNeue-Roman"/>
          <w:b/>
          <w:color w:val="002060"/>
          <w:sz w:val="40"/>
          <w:szCs w:val="19"/>
        </w:rPr>
        <w:t xml:space="preserve">en 2021 </w:t>
      </w:r>
      <w:r w:rsidR="00016D4B" w:rsidRPr="00502894">
        <w:rPr>
          <w:rFonts w:ascii="Cambria" w:hAnsi="Cambria" w:cs="HelveticaNeue-Roman"/>
          <w:b/>
          <w:color w:val="002060"/>
          <w:sz w:val="40"/>
          <w:szCs w:val="19"/>
        </w:rPr>
        <w:t>un 60% de público y recaudación respecto a 2019</w:t>
      </w:r>
    </w:p>
    <w:p w:rsidR="00016D4B" w:rsidRDefault="00016D4B" w:rsidP="009829EF">
      <w:pPr>
        <w:pStyle w:val="Prrafodelista"/>
        <w:autoSpaceDE w:val="0"/>
        <w:autoSpaceDN w:val="0"/>
        <w:adjustRightInd w:val="0"/>
        <w:spacing w:after="0" w:line="240" w:lineRule="auto"/>
        <w:jc w:val="center"/>
        <w:rPr>
          <w:rFonts w:ascii="Cambria" w:hAnsi="Cambria" w:cs="HelveticaNeue-Roman"/>
          <w:b/>
          <w:color w:val="002060"/>
          <w:sz w:val="32"/>
          <w:szCs w:val="19"/>
        </w:rPr>
      </w:pPr>
    </w:p>
    <w:p w:rsidR="009829EF" w:rsidRPr="00502894" w:rsidRDefault="009829EF" w:rsidP="009829EF">
      <w:pPr>
        <w:autoSpaceDE w:val="0"/>
        <w:autoSpaceDN w:val="0"/>
        <w:adjustRightInd w:val="0"/>
        <w:spacing w:after="0" w:line="240" w:lineRule="auto"/>
        <w:jc w:val="center"/>
        <w:rPr>
          <w:rFonts w:ascii="Cambria" w:hAnsi="Cambria" w:cs="HelveticaNeue-Roman"/>
          <w:b/>
          <w:i/>
          <w:color w:val="002060"/>
          <w:sz w:val="24"/>
          <w:szCs w:val="19"/>
        </w:rPr>
      </w:pPr>
      <w:r w:rsidRPr="00502894">
        <w:rPr>
          <w:rFonts w:ascii="Cambria" w:hAnsi="Cambria" w:cs="HelveticaNeue-Roman"/>
          <w:b/>
          <w:i/>
          <w:color w:val="002060"/>
          <w:sz w:val="24"/>
          <w:szCs w:val="19"/>
        </w:rPr>
        <w:t>-</w:t>
      </w:r>
      <w:r w:rsidR="00016D4B" w:rsidRPr="00502894">
        <w:rPr>
          <w:rFonts w:ascii="Cambria" w:hAnsi="Cambria" w:cs="HelveticaNeue-Roman"/>
          <w:b/>
          <w:i/>
          <w:color w:val="002060"/>
          <w:sz w:val="24"/>
          <w:szCs w:val="19"/>
        </w:rPr>
        <w:t xml:space="preserve">Las restricciones sanitarias han sido las protagonistas de un ejercicio que recupera un 40% de su actividad y un 50% del público y </w:t>
      </w:r>
      <w:r w:rsidR="00A36BEF" w:rsidRPr="00502894">
        <w:rPr>
          <w:rFonts w:ascii="Cambria" w:hAnsi="Cambria" w:cs="HelveticaNeue-Roman"/>
          <w:b/>
          <w:i/>
          <w:color w:val="002060"/>
          <w:sz w:val="24"/>
          <w:szCs w:val="19"/>
        </w:rPr>
        <w:t xml:space="preserve">de </w:t>
      </w:r>
      <w:r w:rsidR="00016D4B" w:rsidRPr="00502894">
        <w:rPr>
          <w:rFonts w:ascii="Cambria" w:hAnsi="Cambria" w:cs="HelveticaNeue-Roman"/>
          <w:b/>
          <w:i/>
          <w:color w:val="002060"/>
          <w:sz w:val="24"/>
          <w:szCs w:val="19"/>
        </w:rPr>
        <w:t>la</w:t>
      </w:r>
      <w:r w:rsidRPr="00502894">
        <w:rPr>
          <w:rFonts w:ascii="Cambria" w:hAnsi="Cambria" w:cs="HelveticaNeue-Roman"/>
          <w:b/>
          <w:i/>
          <w:color w:val="002060"/>
          <w:sz w:val="24"/>
          <w:szCs w:val="19"/>
        </w:rPr>
        <w:t xml:space="preserve"> recaudación respecto a 2020 </w:t>
      </w:r>
    </w:p>
    <w:p w:rsidR="00016D4B" w:rsidRPr="00502894" w:rsidRDefault="00016D4B" w:rsidP="009829EF">
      <w:pPr>
        <w:autoSpaceDE w:val="0"/>
        <w:autoSpaceDN w:val="0"/>
        <w:adjustRightInd w:val="0"/>
        <w:spacing w:after="0" w:line="240" w:lineRule="auto"/>
        <w:jc w:val="center"/>
        <w:rPr>
          <w:rFonts w:ascii="Cambria" w:hAnsi="Cambria" w:cs="HelveticaNeue-Roman"/>
          <w:b/>
          <w:i/>
          <w:color w:val="002060"/>
          <w:sz w:val="24"/>
          <w:szCs w:val="19"/>
        </w:rPr>
      </w:pPr>
      <w:r w:rsidRPr="00502894">
        <w:rPr>
          <w:rFonts w:ascii="Cambria" w:hAnsi="Cambria" w:cs="HelveticaNeue-Roman"/>
          <w:b/>
          <w:i/>
          <w:color w:val="002060"/>
          <w:sz w:val="24"/>
          <w:szCs w:val="19"/>
        </w:rPr>
        <w:br/>
        <w:t>-</w:t>
      </w:r>
      <w:r w:rsidR="00A36BEF" w:rsidRPr="00502894">
        <w:rPr>
          <w:rFonts w:ascii="Cambria" w:hAnsi="Cambria" w:cs="HelveticaNeue-Roman"/>
          <w:b/>
          <w:i/>
          <w:color w:val="002060"/>
          <w:sz w:val="24"/>
          <w:szCs w:val="19"/>
        </w:rPr>
        <w:t xml:space="preserve"> </w:t>
      </w:r>
      <w:r w:rsidR="00BF03CC" w:rsidRPr="00502894">
        <w:rPr>
          <w:rFonts w:ascii="Cambria" w:hAnsi="Cambria" w:cs="HelveticaNeue-Roman"/>
          <w:b/>
          <w:i/>
          <w:color w:val="002060"/>
          <w:sz w:val="24"/>
          <w:szCs w:val="19"/>
        </w:rPr>
        <w:t>S</w:t>
      </w:r>
      <w:r w:rsidRPr="00502894">
        <w:rPr>
          <w:rFonts w:ascii="Cambria" w:hAnsi="Cambria" w:cs="HelveticaNeue-Roman"/>
          <w:b/>
          <w:i/>
          <w:color w:val="002060"/>
          <w:sz w:val="24"/>
          <w:szCs w:val="19"/>
        </w:rPr>
        <w:t>olo el sector del videojuego</w:t>
      </w:r>
      <w:r w:rsidR="00A36BEF" w:rsidRPr="00502894">
        <w:rPr>
          <w:rFonts w:ascii="Cambria" w:hAnsi="Cambria" w:cs="HelveticaNeue-Roman"/>
          <w:b/>
          <w:i/>
          <w:color w:val="002060"/>
          <w:sz w:val="24"/>
          <w:szCs w:val="19"/>
        </w:rPr>
        <w:t xml:space="preserve"> (+21,4%)</w:t>
      </w:r>
      <w:r w:rsidRPr="00502894">
        <w:rPr>
          <w:rFonts w:ascii="Cambria" w:hAnsi="Cambria" w:cs="HelveticaNeue-Roman"/>
          <w:b/>
          <w:i/>
          <w:color w:val="002060"/>
          <w:sz w:val="24"/>
          <w:szCs w:val="19"/>
        </w:rPr>
        <w:t xml:space="preserve"> y la música grabada </w:t>
      </w:r>
      <w:r w:rsidR="00A36BEF" w:rsidRPr="00502894">
        <w:rPr>
          <w:rFonts w:ascii="Cambria" w:hAnsi="Cambria" w:cs="HelveticaNeue-Roman"/>
          <w:b/>
          <w:i/>
          <w:color w:val="002060"/>
          <w:sz w:val="24"/>
          <w:szCs w:val="19"/>
        </w:rPr>
        <w:t xml:space="preserve">(+15%) </w:t>
      </w:r>
      <w:r w:rsidRPr="00502894">
        <w:rPr>
          <w:rFonts w:ascii="Cambria" w:hAnsi="Cambria" w:cs="HelveticaNeue-Roman"/>
          <w:b/>
          <w:i/>
          <w:color w:val="002060"/>
          <w:sz w:val="24"/>
          <w:szCs w:val="19"/>
        </w:rPr>
        <w:t xml:space="preserve">mantienen la tendencia positiva </w:t>
      </w:r>
      <w:r w:rsidR="00A36BEF" w:rsidRPr="00502894">
        <w:rPr>
          <w:rFonts w:ascii="Cambria" w:hAnsi="Cambria" w:cs="HelveticaNeue-Roman"/>
          <w:b/>
          <w:i/>
          <w:color w:val="002060"/>
          <w:sz w:val="24"/>
          <w:szCs w:val="19"/>
        </w:rPr>
        <w:t>de los últimos años</w:t>
      </w:r>
      <w:r w:rsidRPr="00502894">
        <w:rPr>
          <w:rFonts w:ascii="Cambria" w:hAnsi="Cambria" w:cs="HelveticaNeue-Roman"/>
          <w:b/>
          <w:i/>
          <w:color w:val="002060"/>
          <w:sz w:val="24"/>
          <w:szCs w:val="19"/>
        </w:rPr>
        <w:t xml:space="preserve"> </w:t>
      </w:r>
    </w:p>
    <w:p w:rsidR="00BF03CC" w:rsidRPr="00502894" w:rsidRDefault="00BF03CC" w:rsidP="00BF03CC">
      <w:pPr>
        <w:autoSpaceDE w:val="0"/>
        <w:autoSpaceDN w:val="0"/>
        <w:adjustRightInd w:val="0"/>
        <w:spacing w:after="0" w:line="240" w:lineRule="auto"/>
        <w:rPr>
          <w:rFonts w:ascii="Cambria" w:hAnsi="Cambria" w:cs="HelveticaNeue-Roman"/>
          <w:b/>
          <w:i/>
          <w:color w:val="002060"/>
          <w:sz w:val="24"/>
          <w:szCs w:val="19"/>
        </w:rPr>
      </w:pPr>
    </w:p>
    <w:p w:rsidR="00BF03CC" w:rsidRPr="00502894" w:rsidRDefault="00BF03CC" w:rsidP="00BF03CC">
      <w:pPr>
        <w:autoSpaceDE w:val="0"/>
        <w:autoSpaceDN w:val="0"/>
        <w:adjustRightInd w:val="0"/>
        <w:spacing w:after="0" w:line="240" w:lineRule="auto"/>
        <w:jc w:val="center"/>
        <w:rPr>
          <w:rFonts w:ascii="Cambria" w:hAnsi="Cambria" w:cs="HelveticaNeue-Roman"/>
          <w:b/>
          <w:i/>
          <w:color w:val="002060"/>
          <w:sz w:val="24"/>
          <w:szCs w:val="19"/>
        </w:rPr>
      </w:pPr>
      <w:r w:rsidRPr="00502894">
        <w:rPr>
          <w:rFonts w:ascii="Cambria" w:hAnsi="Cambria" w:cs="HelveticaNeue-Roman"/>
          <w:b/>
          <w:i/>
          <w:color w:val="002060"/>
          <w:sz w:val="24"/>
          <w:szCs w:val="19"/>
        </w:rPr>
        <w:t xml:space="preserve">-Madrid y Cataluña lideran la recuperación del sector tras la pandemia </w:t>
      </w:r>
    </w:p>
    <w:p w:rsidR="00930063" w:rsidRPr="00502894" w:rsidRDefault="00930063" w:rsidP="00BF03CC">
      <w:pPr>
        <w:autoSpaceDE w:val="0"/>
        <w:autoSpaceDN w:val="0"/>
        <w:adjustRightInd w:val="0"/>
        <w:spacing w:after="0" w:line="240" w:lineRule="auto"/>
        <w:jc w:val="center"/>
        <w:rPr>
          <w:rFonts w:ascii="Cambria" w:hAnsi="Cambria" w:cs="HelveticaNeue-Roman"/>
          <w:b/>
          <w:i/>
          <w:color w:val="002060"/>
          <w:sz w:val="24"/>
          <w:szCs w:val="19"/>
        </w:rPr>
      </w:pPr>
    </w:p>
    <w:p w:rsidR="00DA2114" w:rsidRDefault="00DA2114" w:rsidP="00DA2114">
      <w:pPr>
        <w:spacing w:after="0" w:line="240" w:lineRule="auto"/>
        <w:jc w:val="both"/>
        <w:rPr>
          <w:rFonts w:ascii="Cambria" w:eastAsia="Times New Roman" w:hAnsi="Cambria" w:cs="Helvetica"/>
          <w:color w:val="002060"/>
          <w:sz w:val="24"/>
          <w:szCs w:val="18"/>
          <w:lang w:eastAsia="es-ES"/>
        </w:rPr>
      </w:pPr>
    </w:p>
    <w:p w:rsidR="00F301A1" w:rsidRDefault="00DA2114" w:rsidP="00F301A1">
      <w:pPr>
        <w:autoSpaceDE w:val="0"/>
        <w:autoSpaceDN w:val="0"/>
        <w:adjustRightInd w:val="0"/>
        <w:spacing w:after="0" w:line="240" w:lineRule="auto"/>
        <w:rPr>
          <w:rFonts w:ascii="Cambria" w:eastAsia="Times New Roman" w:hAnsi="Cambria" w:cs="Helvetica"/>
          <w:color w:val="002060"/>
          <w:sz w:val="24"/>
          <w:szCs w:val="18"/>
          <w:lang w:eastAsia="es-ES"/>
        </w:rPr>
      </w:pPr>
      <w:r w:rsidRPr="00DA2114">
        <w:rPr>
          <w:rFonts w:ascii="Cambria" w:eastAsia="Times New Roman" w:hAnsi="Cambria" w:cs="Helvetica"/>
          <w:color w:val="002060"/>
          <w:sz w:val="24"/>
          <w:szCs w:val="18"/>
          <w:lang w:eastAsia="es-ES"/>
        </w:rPr>
        <w:t>La Fundación SGAE ha presentado el </w:t>
      </w:r>
      <w:r w:rsidRPr="00DA2114">
        <w:rPr>
          <w:rFonts w:ascii="Cambria" w:eastAsia="Times New Roman" w:hAnsi="Cambria" w:cs="Helvetica"/>
          <w:b/>
          <w:bCs/>
          <w:i/>
          <w:iCs/>
          <w:color w:val="002060"/>
          <w:sz w:val="24"/>
          <w:szCs w:val="18"/>
          <w:lang w:eastAsia="es-ES"/>
        </w:rPr>
        <w:t>Anuario SGAE 202</w:t>
      </w:r>
      <w:r>
        <w:rPr>
          <w:rFonts w:ascii="Cambria" w:eastAsia="Times New Roman" w:hAnsi="Cambria" w:cs="Helvetica"/>
          <w:b/>
          <w:bCs/>
          <w:i/>
          <w:iCs/>
          <w:color w:val="002060"/>
          <w:sz w:val="24"/>
          <w:szCs w:val="18"/>
          <w:lang w:eastAsia="es-ES"/>
        </w:rPr>
        <w:t>2</w:t>
      </w:r>
      <w:r w:rsidRPr="00DA2114">
        <w:rPr>
          <w:rFonts w:ascii="Cambria" w:eastAsia="Times New Roman" w:hAnsi="Cambria" w:cs="Helvetica"/>
          <w:b/>
          <w:bCs/>
          <w:i/>
          <w:iCs/>
          <w:color w:val="002060"/>
          <w:sz w:val="24"/>
          <w:szCs w:val="18"/>
          <w:lang w:eastAsia="es-ES"/>
        </w:rPr>
        <w:t xml:space="preserve"> de las Artes Escénicas, Musicales y Audiovisuales</w:t>
      </w:r>
      <w:r w:rsidRPr="00DA2114">
        <w:rPr>
          <w:rFonts w:ascii="Cambria" w:eastAsia="Times New Roman" w:hAnsi="Cambria" w:cs="Helvetica"/>
          <w:color w:val="002060"/>
          <w:sz w:val="24"/>
          <w:szCs w:val="18"/>
          <w:lang w:eastAsia="es-ES"/>
        </w:rPr>
        <w:t>, volumen que ofrece datos estadísticos básicos para caracterizar el sector cultural</w:t>
      </w:r>
      <w:r w:rsidR="00F301A1">
        <w:rPr>
          <w:rFonts w:ascii="Cambria" w:eastAsia="Times New Roman" w:hAnsi="Cambria" w:cs="Helvetica"/>
          <w:color w:val="002060"/>
          <w:sz w:val="24"/>
          <w:szCs w:val="18"/>
          <w:lang w:eastAsia="es-ES"/>
        </w:rPr>
        <w:t xml:space="preserve"> y los hábitos de consumo de 2021</w:t>
      </w:r>
      <w:r w:rsidRPr="00DA2114">
        <w:rPr>
          <w:rFonts w:ascii="Cambria" w:eastAsia="Times New Roman" w:hAnsi="Cambria" w:cs="Helvetica"/>
          <w:color w:val="002060"/>
          <w:sz w:val="24"/>
          <w:szCs w:val="18"/>
          <w:lang w:eastAsia="es-ES"/>
        </w:rPr>
        <w:t>.</w:t>
      </w:r>
    </w:p>
    <w:p w:rsidR="00F301A1" w:rsidRDefault="00F301A1" w:rsidP="00F301A1">
      <w:pPr>
        <w:autoSpaceDE w:val="0"/>
        <w:autoSpaceDN w:val="0"/>
        <w:adjustRightInd w:val="0"/>
        <w:spacing w:after="0" w:line="240" w:lineRule="auto"/>
        <w:rPr>
          <w:rFonts w:ascii="Cambria" w:eastAsia="Times New Roman" w:hAnsi="Cambria" w:cs="Helvetica"/>
          <w:color w:val="002060"/>
          <w:sz w:val="24"/>
          <w:szCs w:val="18"/>
          <w:lang w:eastAsia="es-ES"/>
        </w:rPr>
      </w:pPr>
    </w:p>
    <w:p w:rsidR="00DA2114" w:rsidRPr="00F301A1" w:rsidRDefault="00F301A1" w:rsidP="00F301A1">
      <w:pPr>
        <w:autoSpaceDE w:val="0"/>
        <w:autoSpaceDN w:val="0"/>
        <w:adjustRightInd w:val="0"/>
        <w:spacing w:after="0" w:line="240" w:lineRule="auto"/>
        <w:rPr>
          <w:rFonts w:ascii="Cambria" w:hAnsi="Cambria" w:cs="HelveticaNeue-Roman"/>
          <w:color w:val="002060"/>
          <w:sz w:val="24"/>
          <w:szCs w:val="19"/>
        </w:rPr>
      </w:pPr>
      <w:r>
        <w:rPr>
          <w:rFonts w:ascii="Cambria" w:hAnsi="Cambria" w:cs="HelveticaNeue-Roman"/>
          <w:color w:val="002060"/>
          <w:sz w:val="24"/>
          <w:szCs w:val="19"/>
        </w:rPr>
        <w:t xml:space="preserve">El análisis de los datos pormenorizado se ha presentado hoy en una rueda de prensa celebrada en la sede de Madrid de la Sociedad General de Autores y Editores. En ella han participado </w:t>
      </w:r>
      <w:r w:rsidRPr="00DA2114">
        <w:rPr>
          <w:rFonts w:ascii="Cambria" w:hAnsi="Cambria" w:cs="HelveticaNeue-Roman"/>
          <w:b/>
          <w:color w:val="002060"/>
          <w:sz w:val="24"/>
          <w:szCs w:val="19"/>
        </w:rPr>
        <w:t>Antonio Onetti</w:t>
      </w:r>
      <w:r>
        <w:rPr>
          <w:rFonts w:ascii="Cambria" w:hAnsi="Cambria" w:cs="HelveticaNeue-Roman"/>
          <w:b/>
          <w:color w:val="002060"/>
          <w:sz w:val="24"/>
          <w:szCs w:val="19"/>
        </w:rPr>
        <w:t xml:space="preserve"> </w:t>
      </w:r>
      <w:r w:rsidRPr="00DA2114">
        <w:rPr>
          <w:rFonts w:ascii="Cambria" w:hAnsi="Cambria" w:cs="HelveticaNeue-Roman"/>
          <w:color w:val="002060"/>
          <w:sz w:val="24"/>
          <w:szCs w:val="19"/>
        </w:rPr>
        <w:t>y</w:t>
      </w:r>
      <w:r>
        <w:rPr>
          <w:rFonts w:ascii="Cambria" w:hAnsi="Cambria" w:cs="HelveticaNeue-Roman"/>
          <w:b/>
          <w:color w:val="002060"/>
          <w:sz w:val="24"/>
          <w:szCs w:val="19"/>
        </w:rPr>
        <w:t xml:space="preserve"> Juan José Solana, </w:t>
      </w:r>
      <w:r w:rsidRPr="00DA2114">
        <w:rPr>
          <w:rFonts w:ascii="Cambria" w:hAnsi="Cambria" w:cs="HelveticaNeue-Roman"/>
          <w:color w:val="002060"/>
          <w:sz w:val="24"/>
          <w:szCs w:val="19"/>
        </w:rPr>
        <w:t>pres</w:t>
      </w:r>
      <w:r w:rsidR="00016D4B">
        <w:rPr>
          <w:rFonts w:ascii="Cambria" w:hAnsi="Cambria" w:cs="HelveticaNeue-Roman"/>
          <w:color w:val="002060"/>
          <w:sz w:val="24"/>
          <w:szCs w:val="19"/>
        </w:rPr>
        <w:t>idente de SGAE y Fundación SGAE,</w:t>
      </w:r>
      <w:r w:rsidRPr="00DA2114">
        <w:rPr>
          <w:rFonts w:ascii="Cambria" w:hAnsi="Cambria" w:cs="HelveticaNeue-Roman"/>
          <w:color w:val="002060"/>
          <w:sz w:val="24"/>
          <w:szCs w:val="19"/>
        </w:rPr>
        <w:t xml:space="preserve"> respectivamente</w:t>
      </w:r>
      <w:r w:rsidRPr="00016D4B">
        <w:rPr>
          <w:rFonts w:ascii="Cambria" w:hAnsi="Cambria" w:cs="HelveticaNeue-Roman"/>
          <w:color w:val="002060"/>
          <w:sz w:val="24"/>
          <w:szCs w:val="19"/>
        </w:rPr>
        <w:t>,</w:t>
      </w:r>
      <w:r>
        <w:rPr>
          <w:rFonts w:ascii="Cambria" w:hAnsi="Cambria" w:cs="HelveticaNeue-Roman"/>
          <w:b/>
          <w:color w:val="002060"/>
          <w:sz w:val="24"/>
          <w:szCs w:val="19"/>
        </w:rPr>
        <w:t xml:space="preserve"> </w:t>
      </w:r>
      <w:r w:rsidRPr="00DA2114">
        <w:rPr>
          <w:rFonts w:ascii="Cambria" w:hAnsi="Cambria" w:cs="HelveticaNeue-Roman"/>
          <w:color w:val="002060"/>
          <w:sz w:val="24"/>
          <w:szCs w:val="19"/>
        </w:rPr>
        <w:t>y</w:t>
      </w:r>
      <w:r w:rsidRPr="00DA2114">
        <w:rPr>
          <w:rFonts w:ascii="Cambria" w:hAnsi="Cambria" w:cs="HelveticaNeue-Roman"/>
          <w:b/>
          <w:color w:val="002060"/>
          <w:sz w:val="24"/>
          <w:szCs w:val="19"/>
        </w:rPr>
        <w:t xml:space="preserve"> Rubén G</w:t>
      </w:r>
      <w:r>
        <w:rPr>
          <w:rFonts w:ascii="Cambria" w:hAnsi="Cambria" w:cs="HelveticaNeue-Roman"/>
          <w:b/>
          <w:color w:val="002060"/>
          <w:sz w:val="24"/>
          <w:szCs w:val="19"/>
        </w:rPr>
        <w:t xml:space="preserve">utiérrez del Castillo, </w:t>
      </w:r>
      <w:r w:rsidRPr="00DA2114">
        <w:rPr>
          <w:rFonts w:ascii="Cambria" w:hAnsi="Cambria" w:cs="HelveticaNeue-Roman"/>
          <w:color w:val="002060"/>
          <w:sz w:val="24"/>
          <w:szCs w:val="19"/>
        </w:rPr>
        <w:t>director general de Fundación SGAE</w:t>
      </w:r>
      <w:r>
        <w:rPr>
          <w:rFonts w:ascii="Cambria" w:hAnsi="Cambria" w:cs="HelveticaNeue-Roman"/>
          <w:color w:val="002060"/>
          <w:sz w:val="24"/>
          <w:szCs w:val="19"/>
        </w:rPr>
        <w:t xml:space="preserve">. </w:t>
      </w:r>
    </w:p>
    <w:p w:rsidR="00DA2114" w:rsidRDefault="00DA2114" w:rsidP="00DA2114">
      <w:pPr>
        <w:spacing w:after="0" w:line="240" w:lineRule="auto"/>
        <w:jc w:val="both"/>
        <w:rPr>
          <w:rFonts w:ascii="Cambria" w:eastAsia="Times New Roman" w:hAnsi="Cambria" w:cs="Helvetica"/>
          <w:color w:val="002060"/>
          <w:sz w:val="24"/>
          <w:szCs w:val="18"/>
          <w:lang w:eastAsia="es-ES"/>
        </w:rPr>
      </w:pPr>
    </w:p>
    <w:p w:rsidR="00DA2114" w:rsidRPr="00DA2114" w:rsidRDefault="00DA2114" w:rsidP="00DA2114">
      <w:pPr>
        <w:spacing w:after="0" w:line="240" w:lineRule="auto"/>
        <w:jc w:val="both"/>
        <w:rPr>
          <w:rFonts w:ascii="Cambria" w:eastAsia="Times New Roman" w:hAnsi="Cambria" w:cs="Helvetica"/>
          <w:color w:val="002060"/>
          <w:sz w:val="28"/>
          <w:szCs w:val="21"/>
          <w:lang w:eastAsia="es-ES"/>
        </w:rPr>
      </w:pPr>
      <w:r>
        <w:rPr>
          <w:rFonts w:ascii="Cambria" w:eastAsia="Times New Roman" w:hAnsi="Cambria" w:cs="Helvetica"/>
          <w:color w:val="002060"/>
          <w:sz w:val="24"/>
          <w:szCs w:val="18"/>
          <w:lang w:eastAsia="es-ES"/>
        </w:rPr>
        <w:t xml:space="preserve">El estudio extrae </w:t>
      </w:r>
      <w:r w:rsidR="009F6BF2">
        <w:rPr>
          <w:rFonts w:ascii="Cambria" w:eastAsia="Times New Roman" w:hAnsi="Cambria" w:cs="Helvetica"/>
          <w:color w:val="002060"/>
          <w:sz w:val="24"/>
          <w:szCs w:val="18"/>
          <w:lang w:eastAsia="es-ES"/>
        </w:rPr>
        <w:t xml:space="preserve">una conclusión clara: El </w:t>
      </w:r>
      <w:r w:rsidR="00BC0244">
        <w:rPr>
          <w:rFonts w:ascii="Cambria" w:eastAsia="Times New Roman" w:hAnsi="Cambria" w:cs="Helvetica"/>
          <w:color w:val="002060"/>
          <w:sz w:val="24"/>
          <w:szCs w:val="18"/>
          <w:lang w:eastAsia="es-ES"/>
        </w:rPr>
        <w:t>sector</w:t>
      </w:r>
      <w:r w:rsidR="009F6BF2">
        <w:rPr>
          <w:rFonts w:ascii="Cambria" w:eastAsia="Times New Roman" w:hAnsi="Cambria" w:cs="Helvetica"/>
          <w:color w:val="002060"/>
          <w:sz w:val="24"/>
          <w:szCs w:val="18"/>
          <w:lang w:eastAsia="es-ES"/>
        </w:rPr>
        <w:t xml:space="preserve"> cultural ha vuelto </w:t>
      </w:r>
      <w:r w:rsidR="00BC0244">
        <w:rPr>
          <w:rFonts w:ascii="Cambria" w:eastAsia="Times New Roman" w:hAnsi="Cambria" w:cs="Helvetica"/>
          <w:color w:val="002060"/>
          <w:sz w:val="24"/>
          <w:szCs w:val="18"/>
          <w:lang w:eastAsia="es-ES"/>
        </w:rPr>
        <w:t>a retomar actividad tras la pandemia con una media de 41,5% más de espectáculos en vivo y un 45% más de sesiones de cine; un 56% más de público y un 52% más de recaudación que en 2020.</w:t>
      </w:r>
      <w:r w:rsidR="009F6BF2">
        <w:rPr>
          <w:rFonts w:ascii="Cambria" w:eastAsia="Times New Roman" w:hAnsi="Cambria" w:cs="Helvetica"/>
          <w:color w:val="002060"/>
          <w:sz w:val="24"/>
          <w:szCs w:val="18"/>
          <w:lang w:eastAsia="es-ES"/>
        </w:rPr>
        <w:t xml:space="preserve"> Sin embargo, los indicadores aún están muy </w:t>
      </w:r>
      <w:r w:rsidR="00BC0244">
        <w:rPr>
          <w:rFonts w:ascii="Cambria" w:eastAsia="Times New Roman" w:hAnsi="Cambria" w:cs="Helvetica"/>
          <w:color w:val="002060"/>
          <w:sz w:val="24"/>
          <w:szCs w:val="18"/>
          <w:lang w:eastAsia="es-ES"/>
        </w:rPr>
        <w:t>lejos de los alcanzados en 2019</w:t>
      </w:r>
      <w:r w:rsidR="00016D4B">
        <w:rPr>
          <w:rFonts w:ascii="Cambria" w:eastAsia="Times New Roman" w:hAnsi="Cambria" w:cs="Helvetica"/>
          <w:color w:val="002060"/>
          <w:sz w:val="24"/>
          <w:szCs w:val="18"/>
          <w:lang w:eastAsia="es-ES"/>
        </w:rPr>
        <w:t>: las políticas de seguridad sanitarias implementadas por los gobiernos regionales durante 2021 -como las limitaciones de aforo y las restricciones perimetrales- han provocado</w:t>
      </w:r>
      <w:r w:rsidR="00BC0244">
        <w:rPr>
          <w:rFonts w:ascii="Cambria" w:eastAsia="Times New Roman" w:hAnsi="Cambria" w:cs="Helvetica"/>
          <w:color w:val="002060"/>
          <w:sz w:val="24"/>
          <w:szCs w:val="18"/>
          <w:lang w:eastAsia="es-ES"/>
        </w:rPr>
        <w:t xml:space="preserve"> pérdidas del 33% en el número de funciones (que alcanza casi el 40% si hablamos de cine); del 62% de la asistencia</w:t>
      </w:r>
      <w:r w:rsidR="00016D4B">
        <w:rPr>
          <w:rFonts w:ascii="Cambria" w:eastAsia="Times New Roman" w:hAnsi="Cambria" w:cs="Helvetica"/>
          <w:color w:val="002060"/>
          <w:sz w:val="24"/>
          <w:szCs w:val="18"/>
          <w:lang w:eastAsia="es-ES"/>
        </w:rPr>
        <w:t xml:space="preserve"> de público</w:t>
      </w:r>
      <w:r w:rsidR="00BC0244">
        <w:rPr>
          <w:rFonts w:ascii="Cambria" w:eastAsia="Times New Roman" w:hAnsi="Cambria" w:cs="Helvetica"/>
          <w:color w:val="002060"/>
          <w:sz w:val="24"/>
          <w:szCs w:val="18"/>
          <w:lang w:eastAsia="es-ES"/>
        </w:rPr>
        <w:t xml:space="preserve"> y un 60,5% de media en cuanto a términos de recaudación. </w:t>
      </w:r>
    </w:p>
    <w:p w:rsidR="00171B66" w:rsidRDefault="00171B66" w:rsidP="00DA2114">
      <w:pPr>
        <w:autoSpaceDE w:val="0"/>
        <w:autoSpaceDN w:val="0"/>
        <w:adjustRightInd w:val="0"/>
        <w:spacing w:after="0" w:line="240" w:lineRule="auto"/>
        <w:rPr>
          <w:rFonts w:ascii="Cambria" w:hAnsi="Cambria" w:cs="HelveticaNeue-Roman"/>
          <w:color w:val="002060"/>
          <w:sz w:val="24"/>
          <w:szCs w:val="19"/>
        </w:rPr>
      </w:pPr>
    </w:p>
    <w:p w:rsidR="00171B66" w:rsidRPr="00171B66" w:rsidRDefault="00171B66" w:rsidP="00171B66">
      <w:pPr>
        <w:spacing w:after="0" w:line="240" w:lineRule="auto"/>
        <w:jc w:val="both"/>
        <w:rPr>
          <w:rFonts w:ascii="Helvetica" w:eastAsia="Times New Roman" w:hAnsi="Helvetica" w:cs="Helvetica"/>
          <w:color w:val="333333"/>
          <w:sz w:val="21"/>
          <w:szCs w:val="21"/>
          <w:lang w:eastAsia="es-ES"/>
        </w:rPr>
      </w:pPr>
      <w:r w:rsidRPr="00171B66">
        <w:rPr>
          <w:rFonts w:ascii="Cambria" w:eastAsia="Times New Roman" w:hAnsi="Cambria" w:cs="Helvetica"/>
          <w:color w:val="002060"/>
          <w:sz w:val="24"/>
          <w:szCs w:val="18"/>
          <w:lang w:eastAsia="es-ES"/>
        </w:rPr>
        <w:t>La información aquí recogida ha analizado en términos cuantitativos y estructurales los siguientes sectores del panorama cultural: </w:t>
      </w:r>
      <w:r w:rsidR="00C811B0">
        <w:rPr>
          <w:rFonts w:ascii="Cambria" w:eastAsia="Times New Roman" w:hAnsi="Cambria" w:cs="Helvetica"/>
          <w:b/>
          <w:bCs/>
          <w:color w:val="002060"/>
          <w:sz w:val="24"/>
          <w:szCs w:val="18"/>
          <w:lang w:eastAsia="es-ES"/>
        </w:rPr>
        <w:t>a</w:t>
      </w:r>
      <w:r w:rsidRPr="00171B66">
        <w:rPr>
          <w:rFonts w:ascii="Cambria" w:eastAsia="Times New Roman" w:hAnsi="Cambria" w:cs="Helvetica"/>
          <w:b/>
          <w:bCs/>
          <w:color w:val="002060"/>
          <w:sz w:val="24"/>
          <w:szCs w:val="18"/>
          <w:lang w:eastAsia="es-ES"/>
        </w:rPr>
        <w:t xml:space="preserve">rtes </w:t>
      </w:r>
      <w:r w:rsidR="00986582">
        <w:rPr>
          <w:rFonts w:ascii="Cambria" w:eastAsia="Times New Roman" w:hAnsi="Cambria" w:cs="Helvetica"/>
          <w:b/>
          <w:bCs/>
          <w:color w:val="002060"/>
          <w:sz w:val="24"/>
          <w:szCs w:val="18"/>
          <w:lang w:eastAsia="es-ES"/>
        </w:rPr>
        <w:t>e</w:t>
      </w:r>
      <w:r w:rsidRPr="00171B66">
        <w:rPr>
          <w:rFonts w:ascii="Cambria" w:eastAsia="Times New Roman" w:hAnsi="Cambria" w:cs="Helvetica"/>
          <w:b/>
          <w:bCs/>
          <w:color w:val="002060"/>
          <w:sz w:val="24"/>
          <w:szCs w:val="18"/>
          <w:lang w:eastAsia="es-ES"/>
        </w:rPr>
        <w:t>scénicas </w:t>
      </w:r>
      <w:r w:rsidRPr="00171B66">
        <w:rPr>
          <w:rFonts w:ascii="Cambria" w:eastAsia="Times New Roman" w:hAnsi="Cambria" w:cs="Helvetica"/>
          <w:color w:val="002060"/>
          <w:sz w:val="24"/>
          <w:szCs w:val="18"/>
          <w:lang w:eastAsia="es-ES"/>
        </w:rPr>
        <w:t>(teatro, danza y lírica), </w:t>
      </w:r>
      <w:r w:rsidRPr="00171B66">
        <w:rPr>
          <w:rFonts w:ascii="Cambria" w:eastAsia="Times New Roman" w:hAnsi="Cambria" w:cs="Helvetica"/>
          <w:b/>
          <w:bCs/>
          <w:color w:val="002060"/>
          <w:sz w:val="24"/>
          <w:szCs w:val="18"/>
          <w:lang w:eastAsia="es-ES"/>
        </w:rPr>
        <w:t xml:space="preserve">música clásica, música </w:t>
      </w:r>
      <w:r w:rsidR="00B7435F">
        <w:rPr>
          <w:rFonts w:ascii="Cambria" w:eastAsia="Times New Roman" w:hAnsi="Cambria" w:cs="Helvetica"/>
          <w:b/>
          <w:bCs/>
          <w:color w:val="002060"/>
          <w:sz w:val="24"/>
          <w:szCs w:val="18"/>
          <w:lang w:eastAsia="es-ES"/>
        </w:rPr>
        <w:t>popular</w:t>
      </w:r>
      <w:r w:rsidRPr="00171B66">
        <w:rPr>
          <w:rFonts w:ascii="Cambria" w:eastAsia="Times New Roman" w:hAnsi="Cambria" w:cs="Helvetica"/>
          <w:b/>
          <w:bCs/>
          <w:color w:val="002060"/>
          <w:sz w:val="24"/>
          <w:szCs w:val="18"/>
          <w:lang w:eastAsia="es-ES"/>
        </w:rPr>
        <w:t xml:space="preserve"> </w:t>
      </w:r>
      <w:r w:rsidRPr="00171B66">
        <w:rPr>
          <w:rFonts w:ascii="Cambria" w:eastAsia="Times New Roman" w:hAnsi="Cambria" w:cs="Helvetica"/>
          <w:bCs/>
          <w:color w:val="002060"/>
          <w:sz w:val="24"/>
          <w:szCs w:val="18"/>
          <w:lang w:eastAsia="es-ES"/>
        </w:rPr>
        <w:t xml:space="preserve">(incluidos los datos de </w:t>
      </w:r>
      <w:proofErr w:type="spellStart"/>
      <w:r w:rsidRPr="00171B66">
        <w:rPr>
          <w:rFonts w:ascii="Cambria" w:eastAsia="Times New Roman" w:hAnsi="Cambria" w:cs="Helvetica"/>
          <w:bCs/>
          <w:color w:val="002060"/>
          <w:sz w:val="24"/>
          <w:szCs w:val="18"/>
          <w:lang w:eastAsia="es-ES"/>
        </w:rPr>
        <w:t>macrofestivales</w:t>
      </w:r>
      <w:proofErr w:type="spellEnd"/>
      <w:r w:rsidRPr="00171B66">
        <w:rPr>
          <w:rFonts w:ascii="Cambria" w:eastAsia="Times New Roman" w:hAnsi="Cambria" w:cs="Helvetica"/>
          <w:bCs/>
          <w:color w:val="002060"/>
          <w:sz w:val="24"/>
          <w:szCs w:val="18"/>
          <w:lang w:eastAsia="es-ES"/>
        </w:rPr>
        <w:t>)</w:t>
      </w:r>
      <w:r w:rsidRPr="00171B66">
        <w:rPr>
          <w:rFonts w:ascii="Cambria" w:eastAsia="Times New Roman" w:hAnsi="Cambria" w:cs="Helvetica"/>
          <w:b/>
          <w:bCs/>
          <w:color w:val="002060"/>
          <w:sz w:val="24"/>
          <w:szCs w:val="18"/>
          <w:lang w:eastAsia="es-ES"/>
        </w:rPr>
        <w:t xml:space="preserve">, cine, música grabada </w:t>
      </w:r>
      <w:r w:rsidRPr="00171B66">
        <w:rPr>
          <w:rFonts w:ascii="Cambria" w:eastAsia="Times New Roman" w:hAnsi="Cambria" w:cs="Helvetica"/>
          <w:bCs/>
          <w:color w:val="002060"/>
          <w:sz w:val="24"/>
          <w:szCs w:val="18"/>
          <w:lang w:eastAsia="es-ES"/>
        </w:rPr>
        <w:t xml:space="preserve">(que incluye la escucha vía </w:t>
      </w:r>
      <w:proofErr w:type="spellStart"/>
      <w:r w:rsidRPr="00171B66">
        <w:rPr>
          <w:rFonts w:ascii="Cambria" w:eastAsia="Times New Roman" w:hAnsi="Cambria" w:cs="Helvetica"/>
          <w:bCs/>
          <w:color w:val="002060"/>
          <w:sz w:val="24"/>
          <w:szCs w:val="18"/>
          <w:lang w:eastAsia="es-ES"/>
        </w:rPr>
        <w:t>streaming</w:t>
      </w:r>
      <w:proofErr w:type="spellEnd"/>
      <w:r w:rsidRPr="00171B66">
        <w:rPr>
          <w:rFonts w:ascii="Cambria" w:eastAsia="Times New Roman" w:hAnsi="Cambria" w:cs="Helvetica"/>
          <w:bCs/>
          <w:color w:val="002060"/>
          <w:sz w:val="24"/>
          <w:szCs w:val="18"/>
          <w:lang w:eastAsia="es-ES"/>
        </w:rPr>
        <w:t xml:space="preserve"> y mercado físico)</w:t>
      </w:r>
      <w:r w:rsidRPr="00171B66">
        <w:rPr>
          <w:rFonts w:ascii="Cambria" w:eastAsia="Times New Roman" w:hAnsi="Cambria" w:cs="Helvetica"/>
          <w:b/>
          <w:bCs/>
          <w:color w:val="002060"/>
          <w:sz w:val="24"/>
          <w:szCs w:val="18"/>
          <w:lang w:eastAsia="es-ES"/>
        </w:rPr>
        <w:t xml:space="preserve">, televisión, radio y nuevas tecnologías </w:t>
      </w:r>
      <w:r w:rsidRPr="00171B66">
        <w:rPr>
          <w:rFonts w:ascii="Cambria" w:eastAsia="Times New Roman" w:hAnsi="Cambria" w:cs="Helvetica"/>
          <w:bCs/>
          <w:color w:val="002060"/>
          <w:sz w:val="24"/>
          <w:szCs w:val="18"/>
          <w:lang w:eastAsia="es-ES"/>
        </w:rPr>
        <w:t>(</w:t>
      </w:r>
      <w:r w:rsidR="00B7435F">
        <w:rPr>
          <w:rFonts w:ascii="Cambria" w:eastAsia="Times New Roman" w:hAnsi="Cambria" w:cs="Helvetica"/>
          <w:bCs/>
          <w:color w:val="002060"/>
          <w:sz w:val="24"/>
          <w:szCs w:val="18"/>
          <w:lang w:eastAsia="es-ES"/>
        </w:rPr>
        <w:t xml:space="preserve">hábitos de </w:t>
      </w:r>
      <w:r w:rsidRPr="00171B66">
        <w:rPr>
          <w:rFonts w:ascii="Cambria" w:eastAsia="Times New Roman" w:hAnsi="Cambria" w:cs="Helvetica"/>
          <w:bCs/>
          <w:color w:val="002060"/>
          <w:sz w:val="24"/>
          <w:szCs w:val="18"/>
          <w:lang w:eastAsia="es-ES"/>
        </w:rPr>
        <w:t xml:space="preserve">consumo de telefonía móvil, </w:t>
      </w:r>
      <w:proofErr w:type="spellStart"/>
      <w:r w:rsidRPr="00171B66">
        <w:rPr>
          <w:rFonts w:ascii="Cambria" w:eastAsia="Times New Roman" w:hAnsi="Cambria" w:cs="Helvetica"/>
          <w:bCs/>
          <w:color w:val="002060"/>
          <w:sz w:val="24"/>
          <w:szCs w:val="18"/>
          <w:lang w:eastAsia="es-ES"/>
        </w:rPr>
        <w:t>tablets</w:t>
      </w:r>
      <w:proofErr w:type="spellEnd"/>
      <w:r w:rsidRPr="00171B66">
        <w:rPr>
          <w:rFonts w:ascii="Cambria" w:eastAsia="Times New Roman" w:hAnsi="Cambria" w:cs="Helvetica"/>
          <w:bCs/>
          <w:color w:val="002060"/>
          <w:sz w:val="24"/>
          <w:szCs w:val="18"/>
          <w:lang w:eastAsia="es-ES"/>
        </w:rPr>
        <w:t xml:space="preserve">, ordenadores, videoconsolas </w:t>
      </w:r>
      <w:r w:rsidR="00B7435F">
        <w:rPr>
          <w:rFonts w:ascii="Cambria" w:eastAsia="Times New Roman" w:hAnsi="Cambria" w:cs="Helvetica"/>
          <w:bCs/>
          <w:color w:val="002060"/>
          <w:sz w:val="24"/>
          <w:szCs w:val="18"/>
          <w:lang w:eastAsia="es-ES"/>
        </w:rPr>
        <w:t>e</w:t>
      </w:r>
      <w:r w:rsidRPr="00171B66">
        <w:rPr>
          <w:rFonts w:ascii="Cambria" w:eastAsia="Times New Roman" w:hAnsi="Cambria" w:cs="Helvetica"/>
          <w:bCs/>
          <w:color w:val="002060"/>
          <w:sz w:val="24"/>
          <w:szCs w:val="18"/>
          <w:lang w:eastAsia="es-ES"/>
        </w:rPr>
        <w:t xml:space="preserve"> Internet, entre otras)</w:t>
      </w:r>
      <w:r w:rsidRPr="00171B66">
        <w:rPr>
          <w:rFonts w:ascii="Cambria" w:eastAsia="Times New Roman" w:hAnsi="Cambria" w:cs="Helvetica"/>
          <w:b/>
          <w:bCs/>
          <w:color w:val="002060"/>
          <w:sz w:val="24"/>
          <w:szCs w:val="18"/>
          <w:lang w:eastAsia="es-ES"/>
        </w:rPr>
        <w:t>.</w:t>
      </w:r>
      <w:r w:rsidRPr="00171B66">
        <w:rPr>
          <w:rFonts w:ascii="Cambria" w:eastAsia="Times New Roman" w:hAnsi="Cambria" w:cs="Helvetica"/>
          <w:color w:val="002060"/>
          <w:sz w:val="24"/>
          <w:szCs w:val="18"/>
          <w:lang w:eastAsia="es-ES"/>
        </w:rPr>
        <w:t> </w:t>
      </w:r>
      <w:r w:rsidRPr="00E32ABE">
        <w:rPr>
          <w:rFonts w:ascii="Helvetica" w:eastAsia="Times New Roman" w:hAnsi="Helvetica" w:cs="Helvetica"/>
          <w:color w:val="333333"/>
          <w:sz w:val="21"/>
          <w:szCs w:val="21"/>
          <w:lang w:eastAsia="es-ES"/>
        </w:rPr>
        <w:t> </w:t>
      </w:r>
    </w:p>
    <w:p w:rsidR="00DA2114" w:rsidRPr="000321C0" w:rsidRDefault="00DA2114" w:rsidP="00DA2114">
      <w:pPr>
        <w:autoSpaceDE w:val="0"/>
        <w:autoSpaceDN w:val="0"/>
        <w:adjustRightInd w:val="0"/>
        <w:spacing w:after="0" w:line="240" w:lineRule="auto"/>
        <w:rPr>
          <w:rFonts w:ascii="Cambria" w:hAnsi="Cambria" w:cs="HelveticaNeue-Roman"/>
          <w:b/>
          <w:color w:val="002060"/>
          <w:sz w:val="24"/>
          <w:szCs w:val="19"/>
        </w:rPr>
      </w:pPr>
    </w:p>
    <w:p w:rsidR="0073328F" w:rsidRDefault="00DA2114" w:rsidP="00DA2114">
      <w:pPr>
        <w:autoSpaceDE w:val="0"/>
        <w:autoSpaceDN w:val="0"/>
        <w:adjustRightInd w:val="0"/>
        <w:spacing w:after="0" w:line="240" w:lineRule="auto"/>
        <w:rPr>
          <w:rFonts w:ascii="Cambria" w:hAnsi="Cambria" w:cs="HelveticaNeue-Roman"/>
          <w:color w:val="002060"/>
          <w:sz w:val="24"/>
          <w:szCs w:val="19"/>
        </w:rPr>
      </w:pPr>
      <w:r>
        <w:rPr>
          <w:rFonts w:ascii="Cambria" w:hAnsi="Cambria" w:cs="HelveticaNeue-Roman"/>
          <w:b/>
          <w:color w:val="002060"/>
          <w:sz w:val="24"/>
          <w:szCs w:val="19"/>
        </w:rPr>
        <w:t xml:space="preserve">Artes </w:t>
      </w:r>
      <w:r w:rsidR="00986582">
        <w:rPr>
          <w:rFonts w:ascii="Cambria" w:hAnsi="Cambria" w:cs="HelveticaNeue-Roman"/>
          <w:b/>
          <w:color w:val="002060"/>
          <w:sz w:val="24"/>
          <w:szCs w:val="19"/>
        </w:rPr>
        <w:t>e</w:t>
      </w:r>
      <w:r>
        <w:rPr>
          <w:rFonts w:ascii="Cambria" w:hAnsi="Cambria" w:cs="HelveticaNeue-Roman"/>
          <w:b/>
          <w:color w:val="002060"/>
          <w:sz w:val="24"/>
          <w:szCs w:val="19"/>
        </w:rPr>
        <w:t>scénicas</w:t>
      </w:r>
      <w:r>
        <w:rPr>
          <w:rFonts w:ascii="Cambria" w:hAnsi="Cambria" w:cs="HelveticaNeue-Roman"/>
          <w:b/>
          <w:color w:val="002060"/>
          <w:sz w:val="24"/>
          <w:szCs w:val="19"/>
        </w:rPr>
        <w:br/>
      </w:r>
      <w:r w:rsidR="000321C0" w:rsidRPr="009F6BF2">
        <w:rPr>
          <w:rFonts w:ascii="Cambria" w:hAnsi="Cambria" w:cs="HelveticaNeue-Roman"/>
          <w:b/>
          <w:color w:val="002060"/>
          <w:sz w:val="24"/>
          <w:szCs w:val="19"/>
        </w:rPr>
        <w:t>El número de funciones creció</w:t>
      </w:r>
      <w:r w:rsidRPr="009F6BF2">
        <w:rPr>
          <w:rFonts w:ascii="Cambria" w:hAnsi="Cambria" w:cs="HelveticaNeue-Roman"/>
          <w:b/>
          <w:color w:val="002060"/>
          <w:sz w:val="24"/>
          <w:szCs w:val="19"/>
        </w:rPr>
        <w:t xml:space="preserve"> el pasado ejercicio </w:t>
      </w:r>
      <w:r w:rsidR="000321C0" w:rsidRPr="009F6BF2">
        <w:rPr>
          <w:rFonts w:ascii="Cambria" w:hAnsi="Cambria" w:cs="HelveticaNeue-Roman"/>
          <w:b/>
          <w:color w:val="002060"/>
          <w:sz w:val="24"/>
          <w:szCs w:val="19"/>
        </w:rPr>
        <w:t>un 42,2%, la asist</w:t>
      </w:r>
      <w:r w:rsidRPr="009F6BF2">
        <w:rPr>
          <w:rFonts w:ascii="Cambria" w:hAnsi="Cambria" w:cs="HelveticaNeue-Roman"/>
          <w:b/>
          <w:color w:val="002060"/>
          <w:sz w:val="24"/>
          <w:szCs w:val="19"/>
        </w:rPr>
        <w:t xml:space="preserve">encia un 65,8% y la recaudación </w:t>
      </w:r>
      <w:r w:rsidR="000321C0" w:rsidRPr="009F6BF2">
        <w:rPr>
          <w:rFonts w:ascii="Cambria" w:hAnsi="Cambria" w:cs="HelveticaNeue-Roman"/>
          <w:b/>
          <w:color w:val="002060"/>
          <w:sz w:val="24"/>
          <w:szCs w:val="19"/>
        </w:rPr>
        <w:t>un 61,8%</w:t>
      </w:r>
      <w:r w:rsidRPr="009F6BF2">
        <w:rPr>
          <w:rFonts w:ascii="Cambria" w:hAnsi="Cambria" w:cs="HelveticaNeue-Roman"/>
          <w:b/>
          <w:color w:val="002060"/>
          <w:sz w:val="24"/>
          <w:szCs w:val="19"/>
        </w:rPr>
        <w:t>, frente a los datos de 2020</w:t>
      </w:r>
      <w:r w:rsidR="000321C0" w:rsidRPr="009F6BF2">
        <w:rPr>
          <w:rFonts w:ascii="Cambria" w:hAnsi="Cambria" w:cs="HelveticaNeue-Roman"/>
          <w:b/>
          <w:color w:val="002060"/>
          <w:sz w:val="24"/>
          <w:szCs w:val="19"/>
        </w:rPr>
        <w:t>.</w:t>
      </w:r>
      <w:r w:rsidR="000321C0" w:rsidRPr="000321C0">
        <w:rPr>
          <w:rFonts w:ascii="Cambria" w:hAnsi="Cambria" w:cs="HelveticaNeue-Roman"/>
          <w:color w:val="002060"/>
          <w:sz w:val="24"/>
          <w:szCs w:val="19"/>
        </w:rPr>
        <w:t xml:space="preserve"> A pesar de ello, si enfrentamos los </w:t>
      </w:r>
      <w:r>
        <w:rPr>
          <w:rFonts w:ascii="Cambria" w:hAnsi="Cambria" w:cs="HelveticaNeue-Roman"/>
          <w:color w:val="002060"/>
          <w:sz w:val="24"/>
          <w:szCs w:val="19"/>
        </w:rPr>
        <w:t>índice</w:t>
      </w:r>
      <w:r w:rsidR="000321C0" w:rsidRPr="000321C0">
        <w:rPr>
          <w:rFonts w:ascii="Cambria" w:hAnsi="Cambria" w:cs="HelveticaNeue-Roman"/>
          <w:color w:val="002060"/>
          <w:sz w:val="24"/>
          <w:szCs w:val="19"/>
        </w:rPr>
        <w:t xml:space="preserve">s obtenidos </w:t>
      </w:r>
      <w:r>
        <w:rPr>
          <w:rFonts w:ascii="Cambria" w:hAnsi="Cambria" w:cs="HelveticaNeue-Roman"/>
          <w:color w:val="002060"/>
          <w:sz w:val="24"/>
          <w:szCs w:val="19"/>
        </w:rPr>
        <w:t>con</w:t>
      </w:r>
      <w:r w:rsidR="000321C0" w:rsidRPr="000321C0">
        <w:rPr>
          <w:rFonts w:ascii="Cambria" w:hAnsi="Cambria" w:cs="HelveticaNeue-Roman"/>
          <w:color w:val="002060"/>
          <w:sz w:val="24"/>
          <w:szCs w:val="19"/>
        </w:rPr>
        <w:t xml:space="preserve"> los de </w:t>
      </w:r>
      <w:r w:rsidR="000321C0">
        <w:rPr>
          <w:rFonts w:ascii="Cambria" w:hAnsi="Cambria" w:cs="HelveticaNeue-Roman"/>
          <w:color w:val="002060"/>
          <w:sz w:val="24"/>
          <w:szCs w:val="19"/>
        </w:rPr>
        <w:t xml:space="preserve">2019, año previo a la pandemia, </w:t>
      </w:r>
    </w:p>
    <w:p w:rsidR="0073328F" w:rsidRDefault="0073328F" w:rsidP="00DA2114">
      <w:pPr>
        <w:autoSpaceDE w:val="0"/>
        <w:autoSpaceDN w:val="0"/>
        <w:adjustRightInd w:val="0"/>
        <w:spacing w:after="0" w:line="240" w:lineRule="auto"/>
        <w:rPr>
          <w:rFonts w:ascii="Cambria" w:hAnsi="Cambria" w:cs="HelveticaNeue-Roman"/>
          <w:color w:val="002060"/>
          <w:sz w:val="24"/>
          <w:szCs w:val="19"/>
        </w:rPr>
      </w:pPr>
    </w:p>
    <w:p w:rsidR="0073328F" w:rsidRDefault="0073328F" w:rsidP="00DA2114">
      <w:pPr>
        <w:autoSpaceDE w:val="0"/>
        <w:autoSpaceDN w:val="0"/>
        <w:adjustRightInd w:val="0"/>
        <w:spacing w:after="0" w:line="240" w:lineRule="auto"/>
        <w:rPr>
          <w:rFonts w:ascii="Cambria" w:hAnsi="Cambria" w:cs="HelveticaNeue-Roman"/>
          <w:color w:val="002060"/>
          <w:sz w:val="24"/>
          <w:szCs w:val="19"/>
        </w:rPr>
      </w:pPr>
    </w:p>
    <w:p w:rsidR="00422087" w:rsidRDefault="000321C0" w:rsidP="00DA2114">
      <w:pPr>
        <w:autoSpaceDE w:val="0"/>
        <w:autoSpaceDN w:val="0"/>
        <w:adjustRightInd w:val="0"/>
        <w:spacing w:after="0" w:line="240" w:lineRule="auto"/>
        <w:rPr>
          <w:rFonts w:ascii="Cambria" w:hAnsi="Cambria" w:cs="HelveticaNeue-Roman"/>
          <w:color w:val="002060"/>
          <w:sz w:val="24"/>
          <w:szCs w:val="19"/>
        </w:rPr>
      </w:pPr>
      <w:r w:rsidRPr="000321C0">
        <w:rPr>
          <w:rFonts w:ascii="Cambria" w:hAnsi="Cambria" w:cs="HelveticaNeue-Roman"/>
          <w:color w:val="002060"/>
          <w:sz w:val="24"/>
          <w:szCs w:val="19"/>
        </w:rPr>
        <w:t xml:space="preserve">encontramos una </w:t>
      </w:r>
      <w:r w:rsidRPr="009F6BF2">
        <w:rPr>
          <w:rFonts w:ascii="Cambria" w:hAnsi="Cambria" w:cs="HelveticaNeue-Roman"/>
          <w:b/>
          <w:color w:val="002060"/>
          <w:sz w:val="24"/>
          <w:szCs w:val="19"/>
        </w:rPr>
        <w:t>evolución negativa, con retrocesos del 28% en la oferta, del 59,</w:t>
      </w:r>
      <w:r w:rsidR="00DA2114" w:rsidRPr="009F6BF2">
        <w:rPr>
          <w:rFonts w:ascii="Cambria" w:hAnsi="Cambria" w:cs="HelveticaNeue-Roman"/>
          <w:b/>
          <w:color w:val="002060"/>
          <w:sz w:val="24"/>
          <w:szCs w:val="19"/>
        </w:rPr>
        <w:t xml:space="preserve">5% en el número de espectadores </w:t>
      </w:r>
      <w:r w:rsidRPr="009F6BF2">
        <w:rPr>
          <w:rFonts w:ascii="Cambria" w:hAnsi="Cambria" w:cs="HelveticaNeue-Roman"/>
          <w:b/>
          <w:color w:val="002060"/>
          <w:sz w:val="24"/>
          <w:szCs w:val="19"/>
        </w:rPr>
        <w:t>y del 55,2% en la recaudación.</w:t>
      </w:r>
      <w:r w:rsidR="00171B66">
        <w:rPr>
          <w:rFonts w:ascii="Cambria" w:hAnsi="Cambria" w:cs="HelveticaNeue-Roman"/>
          <w:color w:val="002060"/>
          <w:sz w:val="24"/>
          <w:szCs w:val="19"/>
        </w:rPr>
        <w:t xml:space="preserve"> </w:t>
      </w:r>
    </w:p>
    <w:p w:rsidR="00734855" w:rsidRDefault="00734855" w:rsidP="00DA2114">
      <w:pPr>
        <w:autoSpaceDE w:val="0"/>
        <w:autoSpaceDN w:val="0"/>
        <w:adjustRightInd w:val="0"/>
        <w:spacing w:after="0" w:line="240" w:lineRule="auto"/>
        <w:rPr>
          <w:rFonts w:ascii="Cambria" w:hAnsi="Cambria" w:cs="HelveticaNeue-Roman"/>
          <w:color w:val="002060"/>
          <w:sz w:val="24"/>
          <w:szCs w:val="19"/>
        </w:rPr>
      </w:pPr>
    </w:p>
    <w:p w:rsidR="00E8406F" w:rsidRDefault="00734855" w:rsidP="00591091">
      <w:pPr>
        <w:autoSpaceDE w:val="0"/>
        <w:autoSpaceDN w:val="0"/>
        <w:adjustRightInd w:val="0"/>
        <w:spacing w:after="0" w:line="240" w:lineRule="auto"/>
        <w:rPr>
          <w:rFonts w:ascii="Cambria" w:hAnsi="Cambria" w:cs="HelveticaNeue-Roman"/>
          <w:color w:val="002060"/>
          <w:sz w:val="24"/>
          <w:szCs w:val="19"/>
        </w:rPr>
      </w:pPr>
      <w:r>
        <w:rPr>
          <w:rFonts w:ascii="Cambria" w:hAnsi="Cambria" w:cs="HelveticaNeue-Roman"/>
          <w:color w:val="002060"/>
          <w:sz w:val="24"/>
          <w:szCs w:val="19"/>
        </w:rPr>
        <w:t xml:space="preserve">Asimismo, los datos confirman que un año más, </w:t>
      </w:r>
      <w:r w:rsidRPr="00591091">
        <w:rPr>
          <w:rFonts w:ascii="Cambria" w:hAnsi="Cambria" w:cs="HelveticaNeue-Roman"/>
          <w:color w:val="002060"/>
          <w:sz w:val="24"/>
          <w:szCs w:val="19"/>
        </w:rPr>
        <w:t>el</w:t>
      </w:r>
      <w:r w:rsidRPr="00591091">
        <w:rPr>
          <w:rFonts w:ascii="Cambria" w:hAnsi="Cambria" w:cs="HelveticaNeue-Roman"/>
          <w:b/>
          <w:color w:val="002060"/>
          <w:sz w:val="24"/>
          <w:szCs w:val="19"/>
        </w:rPr>
        <w:t xml:space="preserve"> teatro </w:t>
      </w:r>
      <w:r w:rsidRPr="00591091">
        <w:rPr>
          <w:rFonts w:ascii="Cambria" w:hAnsi="Cambria" w:cs="HelveticaNeue-Roman"/>
          <w:color w:val="002060"/>
          <w:sz w:val="24"/>
          <w:szCs w:val="19"/>
        </w:rPr>
        <w:t xml:space="preserve">vuelve a ser la disciplina líder en el campo de las </w:t>
      </w:r>
      <w:r w:rsidR="00986582">
        <w:rPr>
          <w:rFonts w:ascii="Cambria" w:hAnsi="Cambria" w:cs="HelveticaNeue-Roman"/>
          <w:color w:val="002060"/>
          <w:sz w:val="24"/>
          <w:szCs w:val="19"/>
        </w:rPr>
        <w:t>a</w:t>
      </w:r>
      <w:r w:rsidRPr="00591091">
        <w:rPr>
          <w:rFonts w:ascii="Cambria" w:hAnsi="Cambria" w:cs="HelveticaNeue-Roman"/>
          <w:color w:val="002060"/>
          <w:sz w:val="24"/>
          <w:szCs w:val="19"/>
        </w:rPr>
        <w:t xml:space="preserve">rtes </w:t>
      </w:r>
      <w:r w:rsidR="00986582">
        <w:rPr>
          <w:rFonts w:ascii="Cambria" w:hAnsi="Cambria" w:cs="HelveticaNeue-Roman"/>
          <w:color w:val="002060"/>
          <w:sz w:val="24"/>
          <w:szCs w:val="19"/>
        </w:rPr>
        <w:t>e</w:t>
      </w:r>
      <w:r w:rsidRPr="00591091">
        <w:rPr>
          <w:rFonts w:ascii="Cambria" w:hAnsi="Cambria" w:cs="HelveticaNeue-Roman"/>
          <w:color w:val="002060"/>
          <w:sz w:val="24"/>
          <w:szCs w:val="19"/>
        </w:rPr>
        <w:t>scénicas</w:t>
      </w:r>
      <w:r w:rsidR="0073328F">
        <w:rPr>
          <w:rFonts w:ascii="Cambria" w:hAnsi="Cambria" w:cs="HelveticaNeue-Roman"/>
          <w:color w:val="002060"/>
          <w:sz w:val="24"/>
          <w:szCs w:val="19"/>
        </w:rPr>
        <w:t xml:space="preserve">, acumulando el 94% de las </w:t>
      </w:r>
      <w:r>
        <w:rPr>
          <w:rFonts w:ascii="Cambria" w:hAnsi="Cambria" w:cs="HelveticaNeue-Roman"/>
          <w:color w:val="002060"/>
          <w:sz w:val="24"/>
          <w:szCs w:val="19"/>
        </w:rPr>
        <w:t>representaciones</w:t>
      </w:r>
      <w:r w:rsidR="00B7435F">
        <w:rPr>
          <w:rFonts w:ascii="Cambria" w:hAnsi="Cambria" w:cs="HelveticaNeue-Roman"/>
          <w:color w:val="002060"/>
          <w:sz w:val="24"/>
          <w:szCs w:val="19"/>
        </w:rPr>
        <w:t>, el 90% del público</w:t>
      </w:r>
      <w:r>
        <w:rPr>
          <w:rFonts w:ascii="Cambria" w:hAnsi="Cambria" w:cs="HelveticaNeue-Roman"/>
          <w:color w:val="002060"/>
          <w:sz w:val="24"/>
          <w:szCs w:val="19"/>
        </w:rPr>
        <w:t xml:space="preserve"> y el 89% de la recaudación.</w:t>
      </w:r>
      <w:r w:rsidR="00591091">
        <w:rPr>
          <w:rFonts w:ascii="Cambria" w:hAnsi="Cambria" w:cs="HelveticaNeue-Roman"/>
          <w:color w:val="002060"/>
          <w:sz w:val="24"/>
          <w:szCs w:val="19"/>
        </w:rPr>
        <w:t xml:space="preserve"> La </w:t>
      </w:r>
      <w:r w:rsidR="00591091" w:rsidRPr="00591091">
        <w:rPr>
          <w:rFonts w:ascii="Cambria" w:hAnsi="Cambria" w:cs="HelveticaNeue-Roman"/>
          <w:b/>
          <w:color w:val="002060"/>
          <w:sz w:val="24"/>
          <w:szCs w:val="19"/>
        </w:rPr>
        <w:t>danza</w:t>
      </w:r>
      <w:r w:rsidR="00591091">
        <w:rPr>
          <w:rFonts w:ascii="Cambria" w:hAnsi="Cambria" w:cs="HelveticaNeue-Roman"/>
          <w:color w:val="002060"/>
          <w:sz w:val="24"/>
          <w:szCs w:val="19"/>
        </w:rPr>
        <w:t xml:space="preserve">, por el contrario, apenas registra el </w:t>
      </w:r>
      <w:r w:rsidR="00591091" w:rsidRPr="00591091">
        <w:rPr>
          <w:rFonts w:ascii="Cambria" w:hAnsi="Cambria" w:cs="HelveticaNeue-Roman"/>
          <w:color w:val="002060"/>
          <w:sz w:val="24"/>
          <w:szCs w:val="19"/>
        </w:rPr>
        <w:t>4,2% de las representac</w:t>
      </w:r>
      <w:r w:rsidR="00591091">
        <w:rPr>
          <w:rFonts w:ascii="Cambria" w:hAnsi="Cambria" w:cs="HelveticaNeue-Roman"/>
          <w:color w:val="002060"/>
          <w:sz w:val="24"/>
          <w:szCs w:val="19"/>
        </w:rPr>
        <w:t xml:space="preserve">iones, el 7,2% de la asistencia </w:t>
      </w:r>
      <w:r w:rsidR="00591091" w:rsidRPr="00591091">
        <w:rPr>
          <w:rFonts w:ascii="Cambria" w:hAnsi="Cambria" w:cs="HelveticaNeue-Roman"/>
          <w:color w:val="002060"/>
          <w:sz w:val="24"/>
          <w:szCs w:val="19"/>
        </w:rPr>
        <w:t>y el 4,7% de la recaudación.</w:t>
      </w:r>
      <w:r w:rsidR="00591091">
        <w:rPr>
          <w:rFonts w:ascii="Cambria" w:hAnsi="Cambria" w:cs="HelveticaNeue-Roman"/>
          <w:color w:val="002060"/>
          <w:sz w:val="24"/>
          <w:szCs w:val="19"/>
        </w:rPr>
        <w:t xml:space="preserve"> Por último, el </w:t>
      </w:r>
      <w:r w:rsidR="00591091" w:rsidRPr="00CA3C42">
        <w:rPr>
          <w:rFonts w:ascii="Cambria" w:hAnsi="Cambria" w:cs="HelveticaNeue-Roman"/>
          <w:b/>
          <w:color w:val="002060"/>
          <w:sz w:val="24"/>
          <w:szCs w:val="19"/>
        </w:rPr>
        <w:t>género lírico</w:t>
      </w:r>
      <w:r w:rsidR="00591091">
        <w:rPr>
          <w:rFonts w:ascii="Cambria" w:hAnsi="Cambria" w:cs="HelveticaNeue-Roman"/>
          <w:color w:val="002060"/>
          <w:sz w:val="24"/>
          <w:szCs w:val="19"/>
        </w:rPr>
        <w:t xml:space="preserve"> (ópera y zarzuela) es la disciplina </w:t>
      </w:r>
      <w:r w:rsidR="00591091" w:rsidRPr="00591091">
        <w:rPr>
          <w:rFonts w:ascii="Cambria" w:hAnsi="Cambria" w:cs="HelveticaNeue-Roman"/>
          <w:color w:val="002060"/>
          <w:sz w:val="24"/>
          <w:szCs w:val="19"/>
        </w:rPr>
        <w:t>con menos oferta y espectadore</w:t>
      </w:r>
      <w:r w:rsidR="00591091">
        <w:rPr>
          <w:rFonts w:ascii="Cambria" w:hAnsi="Cambria" w:cs="HelveticaNeue-Roman"/>
          <w:color w:val="002060"/>
          <w:sz w:val="24"/>
          <w:szCs w:val="19"/>
        </w:rPr>
        <w:t xml:space="preserve">s, aunque en recaudación supera </w:t>
      </w:r>
      <w:r w:rsidR="00591091" w:rsidRPr="00591091">
        <w:rPr>
          <w:rFonts w:ascii="Cambria" w:hAnsi="Cambria" w:cs="HelveticaNeue-Roman"/>
          <w:color w:val="002060"/>
          <w:sz w:val="24"/>
          <w:szCs w:val="19"/>
        </w:rPr>
        <w:t>a la danza. Las representaciones de ópera y zarzuela, durante 2021, concentraron</w:t>
      </w:r>
      <w:r w:rsidR="00591091">
        <w:rPr>
          <w:rFonts w:ascii="Cambria" w:hAnsi="Cambria" w:cs="HelveticaNeue-Roman"/>
          <w:color w:val="002060"/>
          <w:sz w:val="24"/>
          <w:szCs w:val="19"/>
        </w:rPr>
        <w:t xml:space="preserve"> un peso relativo del 1,4%, los </w:t>
      </w:r>
      <w:r w:rsidR="00591091" w:rsidRPr="00591091">
        <w:rPr>
          <w:rFonts w:ascii="Cambria" w:hAnsi="Cambria" w:cs="HelveticaNeue-Roman"/>
          <w:color w:val="002060"/>
          <w:sz w:val="24"/>
          <w:szCs w:val="19"/>
        </w:rPr>
        <w:t>espectadores supusieron el 3,1% y la recaudación fue el 6,4%.</w:t>
      </w:r>
    </w:p>
    <w:p w:rsidR="00E8406F" w:rsidRDefault="00E8406F" w:rsidP="00591091">
      <w:pPr>
        <w:autoSpaceDE w:val="0"/>
        <w:autoSpaceDN w:val="0"/>
        <w:adjustRightInd w:val="0"/>
        <w:spacing w:after="0" w:line="240" w:lineRule="auto"/>
        <w:rPr>
          <w:rFonts w:ascii="Cambria" w:hAnsi="Cambria" w:cs="HelveticaNeue-Roman"/>
          <w:color w:val="002060"/>
          <w:sz w:val="24"/>
          <w:szCs w:val="19"/>
        </w:rPr>
      </w:pPr>
    </w:p>
    <w:p w:rsidR="00171B66" w:rsidRPr="009F6BF2" w:rsidRDefault="00591091" w:rsidP="009F6BF2">
      <w:pPr>
        <w:autoSpaceDE w:val="0"/>
        <w:autoSpaceDN w:val="0"/>
        <w:adjustRightInd w:val="0"/>
        <w:spacing w:after="0" w:line="240" w:lineRule="auto"/>
        <w:rPr>
          <w:rFonts w:ascii="Cambria" w:hAnsi="Cambria" w:cs="HelveticaNeue-Roman"/>
          <w:color w:val="002060"/>
          <w:sz w:val="24"/>
          <w:szCs w:val="19"/>
        </w:rPr>
      </w:pPr>
      <w:r w:rsidRPr="009F6BF2">
        <w:rPr>
          <w:rFonts w:ascii="Cambria" w:hAnsi="Cambria" w:cs="HelveticaNeue-Roman"/>
          <w:color w:val="002060"/>
          <w:sz w:val="24"/>
          <w:szCs w:val="19"/>
        </w:rPr>
        <w:t>Madrid es la C</w:t>
      </w:r>
      <w:r w:rsidR="00171B66" w:rsidRPr="009F6BF2">
        <w:rPr>
          <w:rFonts w:ascii="Cambria" w:hAnsi="Cambria" w:cs="HelveticaNeue-Roman"/>
          <w:color w:val="002060"/>
          <w:sz w:val="24"/>
          <w:szCs w:val="19"/>
        </w:rPr>
        <w:t xml:space="preserve">omunidad Autónoma que más ingresa en representaciones de </w:t>
      </w:r>
      <w:r w:rsidR="00986582">
        <w:rPr>
          <w:rFonts w:ascii="Cambria" w:hAnsi="Cambria" w:cs="HelveticaNeue-Roman"/>
          <w:color w:val="002060"/>
          <w:sz w:val="24"/>
          <w:szCs w:val="19"/>
        </w:rPr>
        <w:t>a</w:t>
      </w:r>
      <w:r w:rsidR="00171B66" w:rsidRPr="009F6BF2">
        <w:rPr>
          <w:rFonts w:ascii="Cambria" w:hAnsi="Cambria" w:cs="HelveticaNeue-Roman"/>
          <w:color w:val="002060"/>
          <w:sz w:val="24"/>
          <w:szCs w:val="19"/>
        </w:rPr>
        <w:t xml:space="preserve">rtes </w:t>
      </w:r>
      <w:r w:rsidR="00986582">
        <w:rPr>
          <w:rFonts w:ascii="Cambria" w:hAnsi="Cambria" w:cs="HelveticaNeue-Roman"/>
          <w:color w:val="002060"/>
          <w:sz w:val="24"/>
          <w:szCs w:val="19"/>
        </w:rPr>
        <w:t>e</w:t>
      </w:r>
      <w:r w:rsidR="00171B66" w:rsidRPr="009F6BF2">
        <w:rPr>
          <w:rFonts w:ascii="Cambria" w:hAnsi="Cambria" w:cs="HelveticaNeue-Roman"/>
          <w:color w:val="002060"/>
          <w:sz w:val="24"/>
          <w:szCs w:val="19"/>
        </w:rPr>
        <w:t>scénicas, también la que más espectáculos acoge</w:t>
      </w:r>
      <w:r w:rsidRPr="009F6BF2">
        <w:rPr>
          <w:rFonts w:ascii="Cambria" w:hAnsi="Cambria" w:cs="HelveticaNeue-Roman"/>
          <w:color w:val="002060"/>
          <w:sz w:val="24"/>
          <w:szCs w:val="19"/>
        </w:rPr>
        <w:t xml:space="preserve">. </w:t>
      </w:r>
      <w:r w:rsidR="00E8406F" w:rsidRPr="009F6BF2">
        <w:rPr>
          <w:rFonts w:ascii="Cambria" w:hAnsi="Cambria" w:cs="HelveticaNeue-Roman"/>
          <w:color w:val="002060"/>
          <w:sz w:val="24"/>
          <w:szCs w:val="19"/>
        </w:rPr>
        <w:t>Solo superada por</w:t>
      </w:r>
      <w:r w:rsidRPr="009F6BF2">
        <w:rPr>
          <w:rFonts w:ascii="Cambria" w:hAnsi="Cambria" w:cs="HelveticaNeue-Roman"/>
          <w:color w:val="002060"/>
          <w:sz w:val="24"/>
          <w:szCs w:val="19"/>
        </w:rPr>
        <w:t xml:space="preserve"> Cataluña en número de espectadores en las disciplinas de ópera y zarzuela.</w:t>
      </w:r>
    </w:p>
    <w:p w:rsidR="00591091" w:rsidRPr="009F6BF2" w:rsidRDefault="00591091" w:rsidP="009F6BF2">
      <w:pPr>
        <w:autoSpaceDE w:val="0"/>
        <w:autoSpaceDN w:val="0"/>
        <w:adjustRightInd w:val="0"/>
        <w:spacing w:after="0" w:line="240" w:lineRule="auto"/>
        <w:rPr>
          <w:rFonts w:ascii="Cambria" w:hAnsi="Cambria" w:cs="HelveticaNeue-Roman"/>
          <w:color w:val="002060"/>
          <w:sz w:val="24"/>
          <w:szCs w:val="19"/>
        </w:rPr>
      </w:pPr>
    </w:p>
    <w:p w:rsidR="00591091" w:rsidRDefault="0073328F" w:rsidP="00591091">
      <w:pPr>
        <w:autoSpaceDE w:val="0"/>
        <w:autoSpaceDN w:val="0"/>
        <w:adjustRightInd w:val="0"/>
        <w:spacing w:after="0" w:line="240" w:lineRule="auto"/>
        <w:rPr>
          <w:rFonts w:ascii="Cambria" w:hAnsi="Cambria" w:cs="HelveticaNeue-Roman"/>
          <w:b/>
          <w:color w:val="002060"/>
          <w:sz w:val="24"/>
          <w:szCs w:val="19"/>
        </w:rPr>
      </w:pPr>
      <w:r>
        <w:rPr>
          <w:rFonts w:ascii="Cambria" w:hAnsi="Cambria" w:cs="HelveticaNeue-Roman"/>
          <w:b/>
          <w:color w:val="002060"/>
          <w:sz w:val="24"/>
          <w:szCs w:val="19"/>
        </w:rPr>
        <w:t>Música c</w:t>
      </w:r>
      <w:r w:rsidR="00591091">
        <w:rPr>
          <w:rFonts w:ascii="Cambria" w:hAnsi="Cambria" w:cs="HelveticaNeue-Roman"/>
          <w:b/>
          <w:color w:val="002060"/>
          <w:sz w:val="24"/>
          <w:szCs w:val="19"/>
        </w:rPr>
        <w:t>lásica</w:t>
      </w:r>
    </w:p>
    <w:p w:rsidR="00591091" w:rsidRPr="00591091" w:rsidRDefault="00591091" w:rsidP="00591091">
      <w:pPr>
        <w:autoSpaceDE w:val="0"/>
        <w:autoSpaceDN w:val="0"/>
        <w:adjustRightInd w:val="0"/>
        <w:spacing w:after="0" w:line="240" w:lineRule="auto"/>
        <w:rPr>
          <w:rFonts w:ascii="Cambria" w:hAnsi="Cambria" w:cs="HelveticaNeue-Roman"/>
          <w:b/>
          <w:color w:val="002060"/>
          <w:sz w:val="24"/>
          <w:szCs w:val="19"/>
        </w:rPr>
      </w:pPr>
      <w:r>
        <w:rPr>
          <w:rFonts w:ascii="Cambria" w:hAnsi="Cambria" w:cs="HelveticaNeue-Roman"/>
          <w:color w:val="002060"/>
          <w:sz w:val="24"/>
          <w:szCs w:val="19"/>
        </w:rPr>
        <w:t>De la misma forma que en las artes e</w:t>
      </w:r>
      <w:r w:rsidRPr="00591091">
        <w:rPr>
          <w:rFonts w:ascii="Cambria" w:hAnsi="Cambria" w:cs="HelveticaNeue-Roman"/>
          <w:color w:val="002060"/>
          <w:sz w:val="24"/>
          <w:szCs w:val="19"/>
        </w:rPr>
        <w:t>scénicas, obser</w:t>
      </w:r>
      <w:r>
        <w:rPr>
          <w:rFonts w:ascii="Cambria" w:hAnsi="Cambria" w:cs="HelveticaNeue-Roman"/>
          <w:color w:val="002060"/>
          <w:sz w:val="24"/>
          <w:szCs w:val="19"/>
        </w:rPr>
        <w:t xml:space="preserve">vamos un incremento en los tres </w:t>
      </w:r>
      <w:r w:rsidRPr="00591091">
        <w:rPr>
          <w:rFonts w:ascii="Cambria" w:hAnsi="Cambria" w:cs="HelveticaNeue-Roman"/>
          <w:color w:val="002060"/>
          <w:sz w:val="24"/>
          <w:szCs w:val="19"/>
        </w:rPr>
        <w:t xml:space="preserve">indicadores: del </w:t>
      </w:r>
      <w:r w:rsidRPr="00591091">
        <w:rPr>
          <w:rFonts w:ascii="Cambria" w:hAnsi="Cambria" w:cs="HelveticaNeue-Roman"/>
          <w:b/>
          <w:color w:val="002060"/>
          <w:sz w:val="24"/>
          <w:szCs w:val="19"/>
        </w:rPr>
        <w:t>38,8% en el número de conciertos, del 45,2% en el número de</w:t>
      </w:r>
      <w:r>
        <w:rPr>
          <w:rFonts w:ascii="Cambria" w:hAnsi="Cambria" w:cs="HelveticaNeue-Roman"/>
          <w:b/>
          <w:color w:val="002060"/>
          <w:sz w:val="24"/>
          <w:szCs w:val="19"/>
        </w:rPr>
        <w:t xml:space="preserve"> espectadores y del 38,8% en la </w:t>
      </w:r>
      <w:r w:rsidRPr="00591091">
        <w:rPr>
          <w:rFonts w:ascii="Cambria" w:hAnsi="Cambria" w:cs="HelveticaNeue-Roman"/>
          <w:b/>
          <w:color w:val="002060"/>
          <w:sz w:val="24"/>
          <w:szCs w:val="19"/>
        </w:rPr>
        <w:t>recaudación</w:t>
      </w:r>
      <w:r w:rsidRPr="00591091">
        <w:rPr>
          <w:rFonts w:ascii="Cambria" w:hAnsi="Cambria" w:cs="HelveticaNeue-Roman"/>
          <w:color w:val="002060"/>
          <w:sz w:val="24"/>
          <w:szCs w:val="19"/>
        </w:rPr>
        <w:t>. Pero esto no implica que se haya alcanzado todavía la recuperación hasta los valores previos a la</w:t>
      </w:r>
    </w:p>
    <w:p w:rsidR="00591091" w:rsidRPr="009F6BF2" w:rsidRDefault="00591091" w:rsidP="00591091">
      <w:pPr>
        <w:autoSpaceDE w:val="0"/>
        <w:autoSpaceDN w:val="0"/>
        <w:adjustRightInd w:val="0"/>
        <w:spacing w:after="0" w:line="240" w:lineRule="auto"/>
        <w:rPr>
          <w:rFonts w:ascii="Cambria" w:hAnsi="Cambria" w:cs="HelveticaNeue-Roman"/>
          <w:b/>
          <w:color w:val="002060"/>
          <w:sz w:val="24"/>
          <w:szCs w:val="19"/>
        </w:rPr>
      </w:pPr>
      <w:r w:rsidRPr="00591091">
        <w:rPr>
          <w:rFonts w:ascii="Cambria" w:hAnsi="Cambria" w:cs="HelveticaNeue-Roman"/>
          <w:color w:val="002060"/>
          <w:sz w:val="24"/>
          <w:szCs w:val="19"/>
        </w:rPr>
        <w:t xml:space="preserve">pandemia. En realidad, </w:t>
      </w:r>
      <w:r w:rsidRPr="009F6BF2">
        <w:rPr>
          <w:rFonts w:ascii="Cambria" w:hAnsi="Cambria" w:cs="HelveticaNeue-Roman"/>
          <w:b/>
          <w:color w:val="002060"/>
          <w:sz w:val="24"/>
          <w:szCs w:val="19"/>
        </w:rPr>
        <w:t>respecto a los datos de 2019</w:t>
      </w:r>
      <w:r w:rsidRPr="00591091">
        <w:rPr>
          <w:rFonts w:ascii="Cambria" w:hAnsi="Cambria" w:cs="HelveticaNeue-Roman"/>
          <w:color w:val="002060"/>
          <w:sz w:val="24"/>
          <w:szCs w:val="19"/>
        </w:rPr>
        <w:t xml:space="preserve">, se ha reflejado un </w:t>
      </w:r>
      <w:r w:rsidRPr="009F6BF2">
        <w:rPr>
          <w:rFonts w:ascii="Cambria" w:hAnsi="Cambria" w:cs="HelveticaNeue-Roman"/>
          <w:b/>
          <w:color w:val="002060"/>
          <w:sz w:val="24"/>
          <w:szCs w:val="19"/>
        </w:rPr>
        <w:t>decrecimiento en todos los casos, con bajadas del 36,1% en la oferta, del 69,3% en la asistencia y del 64,7% en la recaudación.</w:t>
      </w:r>
    </w:p>
    <w:p w:rsidR="00CA3C42" w:rsidRDefault="00CA3C42" w:rsidP="00591091">
      <w:pPr>
        <w:autoSpaceDE w:val="0"/>
        <w:autoSpaceDN w:val="0"/>
        <w:adjustRightInd w:val="0"/>
        <w:spacing w:after="0" w:line="240" w:lineRule="auto"/>
        <w:rPr>
          <w:rFonts w:ascii="Cambria" w:hAnsi="Cambria" w:cs="HelveticaNeue-Roman"/>
          <w:color w:val="002060"/>
          <w:sz w:val="24"/>
          <w:szCs w:val="19"/>
        </w:rPr>
      </w:pPr>
    </w:p>
    <w:p w:rsidR="00CA3C42" w:rsidRPr="009F6BF2" w:rsidRDefault="00CA3C42" w:rsidP="009F6BF2">
      <w:pPr>
        <w:autoSpaceDE w:val="0"/>
        <w:autoSpaceDN w:val="0"/>
        <w:adjustRightInd w:val="0"/>
        <w:spacing w:after="0" w:line="240" w:lineRule="auto"/>
        <w:rPr>
          <w:rFonts w:ascii="Cambria" w:hAnsi="Cambria" w:cs="HelveticaNeue-Roman"/>
          <w:color w:val="002060"/>
          <w:sz w:val="24"/>
          <w:szCs w:val="19"/>
        </w:rPr>
      </w:pPr>
      <w:r w:rsidRPr="009F6BF2">
        <w:rPr>
          <w:rFonts w:ascii="Cambria" w:hAnsi="Cambria" w:cs="HelveticaNeue-Roman"/>
          <w:color w:val="002060"/>
          <w:sz w:val="24"/>
          <w:szCs w:val="19"/>
        </w:rPr>
        <w:t xml:space="preserve">La Comunidad Valenciana lidera el </w:t>
      </w:r>
      <w:proofErr w:type="spellStart"/>
      <w:r w:rsidRPr="009F6BF2">
        <w:rPr>
          <w:rFonts w:ascii="Cambria" w:hAnsi="Cambria" w:cs="HelveticaNeue-Roman"/>
          <w:color w:val="002060"/>
          <w:sz w:val="24"/>
          <w:szCs w:val="19"/>
        </w:rPr>
        <w:t>ránking</w:t>
      </w:r>
      <w:proofErr w:type="spellEnd"/>
      <w:r w:rsidRPr="009F6BF2">
        <w:rPr>
          <w:rFonts w:ascii="Cambria" w:hAnsi="Cambria" w:cs="HelveticaNeue-Roman"/>
          <w:color w:val="002060"/>
          <w:sz w:val="24"/>
          <w:szCs w:val="19"/>
        </w:rPr>
        <w:t xml:space="preserve"> de número de conciertos de música clásica, con el 16% del total. </w:t>
      </w:r>
      <w:r w:rsidR="00E8406F" w:rsidRPr="009F6BF2">
        <w:rPr>
          <w:rFonts w:ascii="Cambria" w:hAnsi="Cambria" w:cs="HelveticaNeue-Roman"/>
          <w:color w:val="002060"/>
          <w:sz w:val="24"/>
          <w:szCs w:val="19"/>
        </w:rPr>
        <w:t>En asistencia baja a la segunda posición, superado solamente por l</w:t>
      </w:r>
      <w:r w:rsidRPr="009F6BF2">
        <w:rPr>
          <w:rFonts w:ascii="Cambria" w:hAnsi="Cambria" w:cs="HelveticaNeue-Roman"/>
          <w:color w:val="002060"/>
          <w:sz w:val="24"/>
          <w:szCs w:val="19"/>
        </w:rPr>
        <w:t xml:space="preserve">a Comunidad de Madrid </w:t>
      </w:r>
      <w:r w:rsidR="00E8406F" w:rsidRPr="009F6BF2">
        <w:rPr>
          <w:rFonts w:ascii="Cambria" w:hAnsi="Cambria" w:cs="HelveticaNeue-Roman"/>
          <w:color w:val="002060"/>
          <w:sz w:val="24"/>
          <w:szCs w:val="19"/>
        </w:rPr>
        <w:t xml:space="preserve">y </w:t>
      </w:r>
      <w:r w:rsidRPr="009F6BF2">
        <w:rPr>
          <w:rFonts w:ascii="Cambria" w:hAnsi="Cambria" w:cs="HelveticaNeue-Roman"/>
          <w:color w:val="002060"/>
          <w:sz w:val="24"/>
          <w:szCs w:val="19"/>
        </w:rPr>
        <w:t xml:space="preserve">en tercera posición </w:t>
      </w:r>
      <w:r w:rsidR="00E8406F" w:rsidRPr="009F6BF2">
        <w:rPr>
          <w:rFonts w:ascii="Cambria" w:hAnsi="Cambria" w:cs="HelveticaNeue-Roman"/>
          <w:color w:val="002060"/>
          <w:sz w:val="24"/>
          <w:szCs w:val="19"/>
        </w:rPr>
        <w:t>se sitúa</w:t>
      </w:r>
      <w:r w:rsidRPr="009F6BF2">
        <w:rPr>
          <w:rFonts w:ascii="Cambria" w:hAnsi="Cambria" w:cs="HelveticaNeue-Roman"/>
          <w:color w:val="002060"/>
          <w:sz w:val="24"/>
          <w:szCs w:val="19"/>
        </w:rPr>
        <w:t xml:space="preserve"> el País Vasco. </w:t>
      </w:r>
      <w:r w:rsidR="00E8406F" w:rsidRPr="009F6BF2">
        <w:rPr>
          <w:rFonts w:ascii="Cambria" w:hAnsi="Cambria" w:cs="HelveticaNeue-Roman"/>
          <w:color w:val="002060"/>
          <w:sz w:val="24"/>
          <w:szCs w:val="19"/>
        </w:rPr>
        <w:t xml:space="preserve">Por el contrario, </w:t>
      </w:r>
      <w:r w:rsidRPr="009F6BF2">
        <w:rPr>
          <w:rFonts w:ascii="Cambria" w:hAnsi="Cambria" w:cs="HelveticaNeue-Roman"/>
          <w:color w:val="002060"/>
          <w:sz w:val="24"/>
          <w:szCs w:val="19"/>
        </w:rPr>
        <w:t xml:space="preserve">Madrid Y Cataluña vuelven a ser las comunidades que más recaudan y acumulan entre los dos el 48% de los ingresos.  </w:t>
      </w:r>
    </w:p>
    <w:p w:rsidR="00591091" w:rsidRDefault="00591091" w:rsidP="00591091">
      <w:pPr>
        <w:autoSpaceDE w:val="0"/>
        <w:autoSpaceDN w:val="0"/>
        <w:adjustRightInd w:val="0"/>
        <w:spacing w:after="0" w:line="240" w:lineRule="auto"/>
        <w:rPr>
          <w:rFonts w:ascii="Cambria" w:hAnsi="Cambria" w:cs="HelveticaNeue-Roman"/>
          <w:b/>
          <w:color w:val="002060"/>
          <w:sz w:val="24"/>
          <w:szCs w:val="19"/>
        </w:rPr>
      </w:pPr>
    </w:p>
    <w:p w:rsidR="00591091" w:rsidRPr="00591091" w:rsidRDefault="0073328F" w:rsidP="00591091">
      <w:pPr>
        <w:autoSpaceDE w:val="0"/>
        <w:autoSpaceDN w:val="0"/>
        <w:adjustRightInd w:val="0"/>
        <w:spacing w:after="0" w:line="240" w:lineRule="auto"/>
        <w:rPr>
          <w:rFonts w:ascii="Cambria" w:hAnsi="Cambria" w:cs="HelveticaNeue-Roman"/>
          <w:b/>
          <w:color w:val="002060"/>
          <w:sz w:val="24"/>
          <w:szCs w:val="19"/>
        </w:rPr>
      </w:pPr>
      <w:r>
        <w:rPr>
          <w:rFonts w:ascii="Cambria" w:hAnsi="Cambria" w:cs="HelveticaNeue-Roman"/>
          <w:b/>
          <w:color w:val="002060"/>
          <w:sz w:val="24"/>
          <w:szCs w:val="19"/>
        </w:rPr>
        <w:t>Música p</w:t>
      </w:r>
      <w:r w:rsidR="00591091">
        <w:rPr>
          <w:rFonts w:ascii="Cambria" w:hAnsi="Cambria" w:cs="HelveticaNeue-Roman"/>
          <w:b/>
          <w:color w:val="002060"/>
          <w:sz w:val="24"/>
          <w:szCs w:val="19"/>
        </w:rPr>
        <w:t xml:space="preserve">opular </w:t>
      </w:r>
    </w:p>
    <w:p w:rsidR="00591091" w:rsidRDefault="00CA3C42" w:rsidP="00CA3C42">
      <w:pPr>
        <w:autoSpaceDE w:val="0"/>
        <w:autoSpaceDN w:val="0"/>
        <w:adjustRightInd w:val="0"/>
        <w:spacing w:after="0" w:line="240" w:lineRule="auto"/>
        <w:rPr>
          <w:rFonts w:ascii="Cambria" w:hAnsi="Cambria" w:cs="HelveticaNeue-Roman"/>
          <w:b/>
          <w:color w:val="002060"/>
          <w:sz w:val="24"/>
          <w:szCs w:val="19"/>
        </w:rPr>
      </w:pPr>
      <w:r>
        <w:rPr>
          <w:rFonts w:ascii="Cambria" w:hAnsi="Cambria" w:cs="HelveticaNeue-Roman"/>
          <w:color w:val="002060"/>
          <w:sz w:val="24"/>
          <w:szCs w:val="19"/>
        </w:rPr>
        <w:t xml:space="preserve">El campo de la música popular en vivo afronta unos datos similares. </w:t>
      </w:r>
      <w:r w:rsidR="00E8406F">
        <w:rPr>
          <w:rFonts w:ascii="Cambria" w:hAnsi="Cambria" w:cs="HelveticaNeue-Roman"/>
          <w:color w:val="002060"/>
          <w:sz w:val="24"/>
          <w:szCs w:val="19"/>
        </w:rPr>
        <w:t xml:space="preserve">Si </w:t>
      </w:r>
      <w:r>
        <w:rPr>
          <w:rFonts w:ascii="Cambria" w:hAnsi="Cambria" w:cs="HelveticaNeue-Roman"/>
          <w:color w:val="002060"/>
          <w:sz w:val="24"/>
          <w:szCs w:val="19"/>
        </w:rPr>
        <w:t xml:space="preserve">comparamos los indicadores de 2021 con los de 2020 </w:t>
      </w:r>
      <w:r w:rsidR="00E8406F">
        <w:rPr>
          <w:rFonts w:ascii="Cambria" w:hAnsi="Cambria" w:cs="HelveticaNeue-Roman"/>
          <w:color w:val="002060"/>
          <w:sz w:val="24"/>
          <w:szCs w:val="19"/>
        </w:rPr>
        <w:t xml:space="preserve">encontramos un </w:t>
      </w:r>
      <w:r w:rsidR="00E8406F" w:rsidRPr="00E8406F">
        <w:rPr>
          <w:rFonts w:ascii="Cambria" w:hAnsi="Cambria" w:cs="HelveticaNeue-Roman"/>
          <w:b/>
          <w:color w:val="002060"/>
          <w:sz w:val="24"/>
          <w:szCs w:val="19"/>
        </w:rPr>
        <w:t xml:space="preserve">aumento del número </w:t>
      </w:r>
      <w:r w:rsidRPr="00E8406F">
        <w:rPr>
          <w:rFonts w:ascii="Cambria" w:hAnsi="Cambria" w:cs="HelveticaNeue-Roman"/>
          <w:b/>
          <w:color w:val="002060"/>
          <w:sz w:val="24"/>
          <w:szCs w:val="19"/>
        </w:rPr>
        <w:t>de conciertos del 40%, del 59,4% en la asistencia y del 49,5% en la recaudación</w:t>
      </w:r>
      <w:r w:rsidR="00E8406F">
        <w:rPr>
          <w:rFonts w:ascii="Cambria" w:hAnsi="Cambria" w:cs="HelveticaNeue-Roman"/>
          <w:color w:val="002060"/>
          <w:sz w:val="24"/>
          <w:szCs w:val="19"/>
        </w:rPr>
        <w:t xml:space="preserve">, incrementos en las cifras que </w:t>
      </w:r>
      <w:r w:rsidRPr="00CA3C42">
        <w:rPr>
          <w:rFonts w:ascii="Cambria" w:hAnsi="Cambria" w:cs="HelveticaNeue-Roman"/>
          <w:color w:val="002060"/>
          <w:sz w:val="24"/>
          <w:szCs w:val="19"/>
        </w:rPr>
        <w:t xml:space="preserve">incluyen datos de </w:t>
      </w:r>
      <w:proofErr w:type="spellStart"/>
      <w:r w:rsidRPr="00CA3C42">
        <w:rPr>
          <w:rFonts w:ascii="Cambria" w:hAnsi="Cambria" w:cs="HelveticaNeue-Roman"/>
          <w:color w:val="002060"/>
          <w:sz w:val="24"/>
          <w:szCs w:val="19"/>
        </w:rPr>
        <w:t>m</w:t>
      </w:r>
      <w:r w:rsidR="00E8406F">
        <w:rPr>
          <w:rFonts w:ascii="Cambria" w:hAnsi="Cambria" w:cs="HelveticaNeue-Roman"/>
          <w:color w:val="002060"/>
          <w:sz w:val="24"/>
          <w:szCs w:val="19"/>
        </w:rPr>
        <w:t>acrofestivales</w:t>
      </w:r>
      <w:proofErr w:type="spellEnd"/>
      <w:r w:rsidR="00E8406F">
        <w:rPr>
          <w:rFonts w:ascii="Cambria" w:hAnsi="Cambria" w:cs="HelveticaNeue-Roman"/>
          <w:color w:val="002060"/>
          <w:sz w:val="24"/>
          <w:szCs w:val="19"/>
        </w:rPr>
        <w:t xml:space="preserve">. Si los datos se enfrentan con los de 2019, todavía </w:t>
      </w:r>
      <w:r w:rsidRPr="00CA3C42">
        <w:rPr>
          <w:rFonts w:ascii="Cambria" w:hAnsi="Cambria" w:cs="HelveticaNeue-Roman"/>
          <w:color w:val="002060"/>
          <w:sz w:val="24"/>
          <w:szCs w:val="19"/>
        </w:rPr>
        <w:t xml:space="preserve">se aprecian notables diferencias. Entre ambos años encontramos </w:t>
      </w:r>
      <w:r w:rsidRPr="009F6BF2">
        <w:rPr>
          <w:rFonts w:ascii="Cambria" w:hAnsi="Cambria" w:cs="HelveticaNeue-Roman"/>
          <w:b/>
          <w:color w:val="002060"/>
          <w:sz w:val="24"/>
          <w:szCs w:val="19"/>
        </w:rPr>
        <w:t>pérdidas del</w:t>
      </w:r>
      <w:r w:rsidR="00E8406F" w:rsidRPr="009F6BF2">
        <w:rPr>
          <w:rFonts w:ascii="Cambria" w:hAnsi="Cambria" w:cs="HelveticaNeue-Roman"/>
          <w:b/>
          <w:color w:val="002060"/>
          <w:sz w:val="24"/>
          <w:szCs w:val="19"/>
        </w:rPr>
        <w:t xml:space="preserve"> 29% en el número de conciertos </w:t>
      </w:r>
      <w:r w:rsidRPr="009F6BF2">
        <w:rPr>
          <w:rFonts w:ascii="Cambria" w:hAnsi="Cambria" w:cs="HelveticaNeue-Roman"/>
          <w:b/>
          <w:color w:val="002060"/>
          <w:sz w:val="24"/>
          <w:szCs w:val="19"/>
        </w:rPr>
        <w:t>celebrados, del 58,3% en el número de asistentes y del 62,1% de la recaudación.</w:t>
      </w:r>
    </w:p>
    <w:p w:rsidR="009F6BF2" w:rsidRDefault="009F6BF2" w:rsidP="00CA3C42">
      <w:pPr>
        <w:autoSpaceDE w:val="0"/>
        <w:autoSpaceDN w:val="0"/>
        <w:adjustRightInd w:val="0"/>
        <w:spacing w:after="0" w:line="240" w:lineRule="auto"/>
        <w:rPr>
          <w:rFonts w:ascii="Cambria" w:hAnsi="Cambria" w:cs="HelveticaNeue-Roman"/>
          <w:b/>
          <w:color w:val="002060"/>
          <w:sz w:val="24"/>
          <w:szCs w:val="19"/>
        </w:rPr>
      </w:pPr>
    </w:p>
    <w:p w:rsidR="009F6BF2" w:rsidRDefault="009F6BF2" w:rsidP="00CA3C42">
      <w:pPr>
        <w:autoSpaceDE w:val="0"/>
        <w:autoSpaceDN w:val="0"/>
        <w:adjustRightInd w:val="0"/>
        <w:spacing w:after="0" w:line="240" w:lineRule="auto"/>
        <w:rPr>
          <w:rFonts w:ascii="Cambria" w:hAnsi="Cambria" w:cs="HelveticaNeue-Roman"/>
          <w:color w:val="002060"/>
          <w:sz w:val="24"/>
          <w:szCs w:val="19"/>
        </w:rPr>
      </w:pPr>
      <w:r>
        <w:rPr>
          <w:rFonts w:ascii="Cambria" w:hAnsi="Cambria" w:cs="HelveticaNeue-Roman"/>
          <w:color w:val="002060"/>
          <w:sz w:val="24"/>
          <w:szCs w:val="19"/>
        </w:rPr>
        <w:t xml:space="preserve">Las Comunidades Autónomas de Madrid, Andalucía y Cataluña acumulan los mejores indicadores. Cataluña, que se posiciona en tercer puesto en cuanto a número de conciertos y asistencia, supera a Madrid y Andalucía en ingresos, acumulando el 25% del total. </w:t>
      </w:r>
    </w:p>
    <w:p w:rsidR="00B37CCB" w:rsidRDefault="00B37CCB" w:rsidP="00CA3C42">
      <w:pPr>
        <w:autoSpaceDE w:val="0"/>
        <w:autoSpaceDN w:val="0"/>
        <w:adjustRightInd w:val="0"/>
        <w:spacing w:after="0" w:line="240" w:lineRule="auto"/>
        <w:rPr>
          <w:rFonts w:ascii="Cambria" w:hAnsi="Cambria" w:cs="HelveticaNeue-Roman"/>
          <w:color w:val="002060"/>
          <w:sz w:val="24"/>
          <w:szCs w:val="19"/>
        </w:rPr>
      </w:pPr>
    </w:p>
    <w:p w:rsidR="0073328F" w:rsidRDefault="0073328F" w:rsidP="00B37CCB">
      <w:pPr>
        <w:autoSpaceDE w:val="0"/>
        <w:autoSpaceDN w:val="0"/>
        <w:adjustRightInd w:val="0"/>
        <w:spacing w:after="0" w:line="240" w:lineRule="auto"/>
        <w:rPr>
          <w:rFonts w:ascii="Cambria" w:hAnsi="Cambria" w:cs="HelveticaNeue-Roman"/>
          <w:b/>
          <w:color w:val="002060"/>
          <w:sz w:val="24"/>
          <w:szCs w:val="19"/>
        </w:rPr>
      </w:pPr>
    </w:p>
    <w:p w:rsidR="00B37CCB" w:rsidRDefault="00B37CCB" w:rsidP="00B37CCB">
      <w:pPr>
        <w:autoSpaceDE w:val="0"/>
        <w:autoSpaceDN w:val="0"/>
        <w:adjustRightInd w:val="0"/>
        <w:spacing w:after="0" w:line="240" w:lineRule="auto"/>
        <w:rPr>
          <w:rFonts w:ascii="Cambria" w:hAnsi="Cambria" w:cs="HelveticaNeue-Roman"/>
          <w:color w:val="002060"/>
          <w:sz w:val="24"/>
          <w:szCs w:val="19"/>
        </w:rPr>
      </w:pPr>
      <w:r>
        <w:rPr>
          <w:rFonts w:ascii="Cambria" w:hAnsi="Cambria" w:cs="HelveticaNeue-Roman"/>
          <w:b/>
          <w:color w:val="002060"/>
          <w:sz w:val="24"/>
          <w:szCs w:val="19"/>
        </w:rPr>
        <w:t xml:space="preserve">Música </w:t>
      </w:r>
      <w:r w:rsidR="0073328F">
        <w:rPr>
          <w:rFonts w:ascii="Cambria" w:hAnsi="Cambria" w:cs="HelveticaNeue-Roman"/>
          <w:b/>
          <w:color w:val="002060"/>
          <w:sz w:val="24"/>
          <w:szCs w:val="19"/>
        </w:rPr>
        <w:t>g</w:t>
      </w:r>
      <w:r>
        <w:rPr>
          <w:rFonts w:ascii="Cambria" w:hAnsi="Cambria" w:cs="HelveticaNeue-Roman"/>
          <w:b/>
          <w:color w:val="002060"/>
          <w:sz w:val="24"/>
          <w:szCs w:val="19"/>
        </w:rPr>
        <w:t xml:space="preserve">rabada </w:t>
      </w:r>
      <w:r>
        <w:rPr>
          <w:rFonts w:ascii="Cambria" w:hAnsi="Cambria" w:cs="HelveticaNeue-Roman"/>
          <w:b/>
          <w:color w:val="002060"/>
          <w:sz w:val="24"/>
          <w:szCs w:val="19"/>
        </w:rPr>
        <w:br/>
      </w:r>
      <w:r w:rsidRPr="00B37CCB">
        <w:rPr>
          <w:rFonts w:ascii="Cambria" w:hAnsi="Cambria" w:cs="HelveticaNeue-Roman"/>
          <w:color w:val="002060"/>
          <w:sz w:val="24"/>
          <w:szCs w:val="19"/>
        </w:rPr>
        <w:t>La música grabada en 2021 mantuvo la tendencia creciente</w:t>
      </w:r>
      <w:r>
        <w:rPr>
          <w:rFonts w:ascii="Cambria" w:hAnsi="Cambria" w:cs="HelveticaNeue-Roman"/>
          <w:color w:val="002060"/>
          <w:sz w:val="24"/>
          <w:szCs w:val="19"/>
        </w:rPr>
        <w:t xml:space="preserve"> en todo el mundo. Según datos de </w:t>
      </w:r>
      <w:proofErr w:type="spellStart"/>
      <w:r>
        <w:rPr>
          <w:rFonts w:ascii="Cambria" w:hAnsi="Cambria" w:cs="HelveticaNeue-Roman"/>
          <w:color w:val="002060"/>
          <w:sz w:val="24"/>
          <w:szCs w:val="19"/>
        </w:rPr>
        <w:t>Promusicae</w:t>
      </w:r>
      <w:proofErr w:type="spellEnd"/>
      <w:r>
        <w:rPr>
          <w:rFonts w:ascii="Cambria" w:hAnsi="Cambria" w:cs="HelveticaNeue-Roman"/>
          <w:color w:val="002060"/>
          <w:sz w:val="24"/>
          <w:szCs w:val="19"/>
        </w:rPr>
        <w:t xml:space="preserve">, </w:t>
      </w:r>
      <w:r w:rsidRPr="00854C97">
        <w:rPr>
          <w:rFonts w:ascii="Cambria" w:hAnsi="Cambria" w:cs="HelveticaNeue-Roman"/>
          <w:b/>
          <w:color w:val="002060"/>
          <w:sz w:val="24"/>
          <w:szCs w:val="19"/>
        </w:rPr>
        <w:t>el mercado digital en España acumula el 82,6% de las ventas totales</w:t>
      </w:r>
      <w:r>
        <w:rPr>
          <w:rFonts w:ascii="Cambria" w:hAnsi="Cambria" w:cs="HelveticaNeue-Roman"/>
          <w:color w:val="002060"/>
          <w:sz w:val="24"/>
          <w:szCs w:val="19"/>
        </w:rPr>
        <w:t xml:space="preserve">, recaudando un total de </w:t>
      </w:r>
      <w:r w:rsidRPr="00B37CCB">
        <w:rPr>
          <w:rFonts w:ascii="Cambria" w:hAnsi="Cambria" w:cs="HelveticaNeue-Roman"/>
          <w:color w:val="002060"/>
          <w:sz w:val="24"/>
          <w:szCs w:val="19"/>
        </w:rPr>
        <w:t xml:space="preserve">303,48 </w:t>
      </w:r>
      <w:r>
        <w:rPr>
          <w:rFonts w:ascii="Cambria" w:hAnsi="Cambria" w:cs="HelveticaNeue-Roman"/>
          <w:color w:val="002060"/>
          <w:sz w:val="24"/>
          <w:szCs w:val="19"/>
        </w:rPr>
        <w:t>millones de euros, un 16,3% más que en 2020.  Por su parte</w:t>
      </w:r>
      <w:r w:rsidRPr="00B37CCB">
        <w:rPr>
          <w:rFonts w:ascii="Cambria" w:hAnsi="Cambria" w:cs="HelveticaNeue-Roman"/>
          <w:color w:val="002060"/>
          <w:sz w:val="24"/>
          <w:szCs w:val="19"/>
        </w:rPr>
        <w:t>, el mercado físico ingresó un total de 63,72 millones de euros, cif</w:t>
      </w:r>
      <w:r>
        <w:rPr>
          <w:rFonts w:ascii="Cambria" w:hAnsi="Cambria" w:cs="HelveticaNeue-Roman"/>
          <w:color w:val="002060"/>
          <w:sz w:val="24"/>
          <w:szCs w:val="19"/>
        </w:rPr>
        <w:t xml:space="preserve">ra que supone un incremento del </w:t>
      </w:r>
      <w:r w:rsidRPr="00B37CCB">
        <w:rPr>
          <w:rFonts w:ascii="Cambria" w:hAnsi="Cambria" w:cs="HelveticaNeue-Roman"/>
          <w:color w:val="002060"/>
          <w:sz w:val="24"/>
          <w:szCs w:val="19"/>
        </w:rPr>
        <w:t xml:space="preserve">15,4%. </w:t>
      </w:r>
    </w:p>
    <w:p w:rsidR="00B37CCB" w:rsidRDefault="00B37CCB" w:rsidP="00B37CCB">
      <w:pPr>
        <w:autoSpaceDE w:val="0"/>
        <w:autoSpaceDN w:val="0"/>
        <w:adjustRightInd w:val="0"/>
        <w:spacing w:after="0" w:line="240" w:lineRule="auto"/>
        <w:rPr>
          <w:rFonts w:ascii="Cambria" w:hAnsi="Cambria" w:cs="HelveticaNeue-Roman"/>
          <w:color w:val="002060"/>
          <w:sz w:val="24"/>
          <w:szCs w:val="19"/>
        </w:rPr>
      </w:pPr>
    </w:p>
    <w:p w:rsidR="00B37CCB" w:rsidRDefault="00B37CCB" w:rsidP="005B50FD">
      <w:pPr>
        <w:autoSpaceDE w:val="0"/>
        <w:autoSpaceDN w:val="0"/>
        <w:adjustRightInd w:val="0"/>
        <w:spacing w:after="0" w:line="240" w:lineRule="auto"/>
        <w:rPr>
          <w:rFonts w:ascii="Cambria" w:hAnsi="Cambria" w:cs="HelveticaNeue-Roman"/>
          <w:color w:val="002060"/>
          <w:sz w:val="24"/>
          <w:szCs w:val="19"/>
        </w:rPr>
      </w:pPr>
      <w:r w:rsidRPr="00B37CCB">
        <w:rPr>
          <w:rFonts w:ascii="Cambria" w:hAnsi="Cambria" w:cs="HelveticaNeue-Roman"/>
          <w:color w:val="002060"/>
          <w:sz w:val="24"/>
          <w:szCs w:val="19"/>
        </w:rPr>
        <w:t xml:space="preserve">En cifras absolutas, </w:t>
      </w:r>
      <w:r w:rsidRPr="00854C97">
        <w:rPr>
          <w:rFonts w:ascii="Cambria" w:hAnsi="Cambria" w:cs="HelveticaNeue-Roman"/>
          <w:b/>
          <w:color w:val="002060"/>
          <w:sz w:val="24"/>
          <w:szCs w:val="19"/>
        </w:rPr>
        <w:t xml:space="preserve">el </w:t>
      </w:r>
      <w:proofErr w:type="spellStart"/>
      <w:r w:rsidRPr="00854C97">
        <w:rPr>
          <w:rFonts w:ascii="Cambria" w:hAnsi="Cambria" w:cs="HelveticaNeue-Roman"/>
          <w:b/>
          <w:i/>
          <w:color w:val="002060"/>
          <w:sz w:val="24"/>
          <w:szCs w:val="19"/>
        </w:rPr>
        <w:t>streaming</w:t>
      </w:r>
      <w:proofErr w:type="spellEnd"/>
      <w:r w:rsidRPr="00B37CCB">
        <w:rPr>
          <w:rFonts w:ascii="Cambria" w:hAnsi="Cambria" w:cs="HelveticaNeue-Roman"/>
          <w:i/>
          <w:color w:val="002060"/>
          <w:sz w:val="24"/>
          <w:szCs w:val="19"/>
        </w:rPr>
        <w:t xml:space="preserve"> </w:t>
      </w:r>
      <w:r w:rsidRPr="00B37CCB">
        <w:rPr>
          <w:rFonts w:ascii="Cambria" w:hAnsi="Cambria" w:cs="HelveticaNeue-Roman"/>
          <w:color w:val="002060"/>
          <w:sz w:val="24"/>
          <w:szCs w:val="19"/>
        </w:rPr>
        <w:t>(que incluye no solo las suscripciones sino, adem</w:t>
      </w:r>
      <w:r>
        <w:rPr>
          <w:rFonts w:ascii="Cambria" w:hAnsi="Cambria" w:cs="HelveticaNeue-Roman"/>
          <w:color w:val="002060"/>
          <w:sz w:val="24"/>
          <w:szCs w:val="19"/>
        </w:rPr>
        <w:t xml:space="preserve">ás, los ingresos por publicidad </w:t>
      </w:r>
      <w:r w:rsidRPr="00B37CCB">
        <w:rPr>
          <w:rFonts w:ascii="Cambria" w:hAnsi="Cambria" w:cs="HelveticaNeue-Roman"/>
          <w:color w:val="002060"/>
          <w:sz w:val="24"/>
          <w:szCs w:val="19"/>
        </w:rPr>
        <w:t xml:space="preserve">en este medio) </w:t>
      </w:r>
      <w:r w:rsidRPr="00854C97">
        <w:rPr>
          <w:rFonts w:ascii="Cambria" w:hAnsi="Cambria" w:cs="HelveticaNeue-Roman"/>
          <w:b/>
          <w:color w:val="002060"/>
          <w:sz w:val="24"/>
          <w:szCs w:val="19"/>
        </w:rPr>
        <w:t>produjo unos ingresos en España de 297,45 millones de euros.</w:t>
      </w:r>
      <w:r>
        <w:rPr>
          <w:rFonts w:ascii="Cambria" w:hAnsi="Cambria" w:cs="HelveticaNeue-Roman"/>
          <w:color w:val="002060"/>
          <w:sz w:val="24"/>
          <w:szCs w:val="19"/>
        </w:rPr>
        <w:t xml:space="preserve"> En cuanto al mercado físico, huelga destacar el crecimiento </w:t>
      </w:r>
      <w:r w:rsidR="005B50FD">
        <w:rPr>
          <w:rFonts w:ascii="Cambria" w:hAnsi="Cambria" w:cs="HelveticaNeue-Roman"/>
          <w:color w:val="002060"/>
          <w:sz w:val="24"/>
          <w:szCs w:val="19"/>
        </w:rPr>
        <w:t>de ventas de</w:t>
      </w:r>
      <w:r>
        <w:rPr>
          <w:rFonts w:ascii="Cambria" w:hAnsi="Cambria" w:cs="HelveticaNeue-Roman"/>
          <w:color w:val="002060"/>
          <w:sz w:val="24"/>
          <w:szCs w:val="19"/>
        </w:rPr>
        <w:t xml:space="preserve"> </w:t>
      </w:r>
      <w:r w:rsidR="00905B7D">
        <w:rPr>
          <w:rFonts w:ascii="Cambria" w:hAnsi="Cambria" w:cs="HelveticaNeue-Roman"/>
          <w:color w:val="002060"/>
          <w:sz w:val="24"/>
          <w:szCs w:val="19"/>
        </w:rPr>
        <w:t>vinilo</w:t>
      </w:r>
      <w:r w:rsidR="005B50FD">
        <w:rPr>
          <w:rFonts w:ascii="Cambria" w:hAnsi="Cambria" w:cs="HelveticaNeue-Roman"/>
          <w:color w:val="002060"/>
          <w:sz w:val="24"/>
          <w:szCs w:val="19"/>
        </w:rPr>
        <w:t xml:space="preserve"> con </w:t>
      </w:r>
      <w:r w:rsidR="005B50FD" w:rsidRPr="005B50FD">
        <w:rPr>
          <w:rFonts w:ascii="Cambria" w:hAnsi="Cambria" w:cs="HelveticaNeue-Roman"/>
          <w:color w:val="002060"/>
          <w:sz w:val="24"/>
          <w:szCs w:val="19"/>
        </w:rPr>
        <w:t>5,</w:t>
      </w:r>
      <w:r w:rsidR="005B50FD">
        <w:rPr>
          <w:rFonts w:ascii="Cambria" w:hAnsi="Cambria" w:cs="HelveticaNeue-Roman"/>
          <w:color w:val="002060"/>
          <w:sz w:val="24"/>
          <w:szCs w:val="19"/>
        </w:rPr>
        <w:t xml:space="preserve">46 millones de </w:t>
      </w:r>
      <w:r w:rsidR="005B50FD" w:rsidRPr="005B50FD">
        <w:rPr>
          <w:rFonts w:ascii="Cambria" w:hAnsi="Cambria" w:cs="HelveticaNeue-Roman"/>
          <w:color w:val="002060"/>
          <w:sz w:val="24"/>
          <w:szCs w:val="19"/>
        </w:rPr>
        <w:t>euros</w:t>
      </w:r>
      <w:r w:rsidR="00905B7D">
        <w:rPr>
          <w:rFonts w:ascii="Cambria" w:hAnsi="Cambria" w:cs="HelveticaNeue-Roman"/>
          <w:color w:val="002060"/>
          <w:sz w:val="24"/>
          <w:szCs w:val="19"/>
        </w:rPr>
        <w:t>, aunque el Compact-Disc sigue siendo mayoritario</w:t>
      </w:r>
      <w:r w:rsidR="005B50FD">
        <w:rPr>
          <w:rFonts w:ascii="Cambria" w:hAnsi="Cambria" w:cs="HelveticaNeue-Roman"/>
          <w:color w:val="002060"/>
          <w:sz w:val="24"/>
          <w:szCs w:val="19"/>
        </w:rPr>
        <w:t>.</w:t>
      </w:r>
      <w:r w:rsidR="00854C97">
        <w:rPr>
          <w:rFonts w:ascii="Cambria" w:hAnsi="Cambria" w:cs="HelveticaNeue-Roman"/>
          <w:color w:val="002060"/>
          <w:sz w:val="24"/>
          <w:szCs w:val="19"/>
        </w:rPr>
        <w:t xml:space="preserve"> Las ventas alcanzan los 63 millones de euros.</w:t>
      </w:r>
    </w:p>
    <w:p w:rsidR="00B7435F" w:rsidRDefault="00B7435F" w:rsidP="005B50FD">
      <w:pPr>
        <w:autoSpaceDE w:val="0"/>
        <w:autoSpaceDN w:val="0"/>
        <w:adjustRightInd w:val="0"/>
        <w:spacing w:after="0" w:line="240" w:lineRule="auto"/>
        <w:rPr>
          <w:rFonts w:ascii="Cambria" w:hAnsi="Cambria" w:cs="HelveticaNeue-Roman"/>
          <w:color w:val="002060"/>
          <w:sz w:val="24"/>
          <w:szCs w:val="19"/>
        </w:rPr>
      </w:pPr>
    </w:p>
    <w:p w:rsidR="00B7435F" w:rsidRDefault="00B7435F" w:rsidP="005B50FD">
      <w:pPr>
        <w:autoSpaceDE w:val="0"/>
        <w:autoSpaceDN w:val="0"/>
        <w:adjustRightInd w:val="0"/>
        <w:spacing w:after="0" w:line="240" w:lineRule="auto"/>
        <w:rPr>
          <w:rFonts w:ascii="Cambria" w:hAnsi="Cambria" w:cs="HelveticaNeue-Roman"/>
          <w:color w:val="002060"/>
          <w:sz w:val="24"/>
          <w:szCs w:val="19"/>
        </w:rPr>
      </w:pPr>
      <w:r>
        <w:rPr>
          <w:rFonts w:ascii="Cambria" w:hAnsi="Cambria" w:cs="HelveticaNeue-Roman"/>
          <w:color w:val="002060"/>
          <w:sz w:val="24"/>
          <w:szCs w:val="19"/>
        </w:rPr>
        <w:t>El álbum “El Madrileño” de C.</w:t>
      </w:r>
      <w:r w:rsidR="0073328F">
        <w:rPr>
          <w:rFonts w:ascii="Cambria" w:hAnsi="Cambria" w:cs="HelveticaNeue-Roman"/>
          <w:color w:val="002060"/>
          <w:sz w:val="24"/>
          <w:szCs w:val="19"/>
        </w:rPr>
        <w:t xml:space="preserve"> </w:t>
      </w:r>
      <w:r>
        <w:rPr>
          <w:rFonts w:ascii="Cambria" w:hAnsi="Cambria" w:cs="HelveticaNeue-Roman"/>
          <w:color w:val="002060"/>
          <w:sz w:val="24"/>
          <w:szCs w:val="19"/>
        </w:rPr>
        <w:t>Tangana lidera las ventas de 2021, seguido de “Mis manos” de Camilo y de “</w:t>
      </w:r>
      <w:proofErr w:type="spellStart"/>
      <w:r>
        <w:rPr>
          <w:rFonts w:ascii="Cambria" w:hAnsi="Cambria" w:cs="HelveticaNeue-Roman"/>
          <w:color w:val="002060"/>
          <w:sz w:val="24"/>
          <w:szCs w:val="19"/>
        </w:rPr>
        <w:t>Future</w:t>
      </w:r>
      <w:proofErr w:type="spellEnd"/>
      <w:r>
        <w:rPr>
          <w:rFonts w:ascii="Cambria" w:hAnsi="Cambria" w:cs="HelveticaNeue-Roman"/>
          <w:color w:val="002060"/>
          <w:sz w:val="24"/>
          <w:szCs w:val="19"/>
        </w:rPr>
        <w:t xml:space="preserve"> Nostalgia” de </w:t>
      </w:r>
      <w:proofErr w:type="spellStart"/>
      <w:r>
        <w:rPr>
          <w:rFonts w:ascii="Cambria" w:hAnsi="Cambria" w:cs="HelveticaNeue-Roman"/>
          <w:color w:val="002060"/>
          <w:sz w:val="24"/>
          <w:szCs w:val="19"/>
        </w:rPr>
        <w:t>Dua</w:t>
      </w:r>
      <w:proofErr w:type="spellEnd"/>
      <w:r>
        <w:rPr>
          <w:rFonts w:ascii="Cambria" w:hAnsi="Cambria" w:cs="HelveticaNeue-Roman"/>
          <w:color w:val="002060"/>
          <w:sz w:val="24"/>
          <w:szCs w:val="19"/>
        </w:rPr>
        <w:t xml:space="preserve"> Lipa. En cuanto al top 50 de canciones más escuchadas, “Todo de ti” de </w:t>
      </w:r>
      <w:proofErr w:type="spellStart"/>
      <w:r>
        <w:rPr>
          <w:rFonts w:ascii="Cambria" w:hAnsi="Cambria" w:cs="HelveticaNeue-Roman"/>
          <w:color w:val="002060"/>
          <w:sz w:val="24"/>
          <w:szCs w:val="19"/>
        </w:rPr>
        <w:t>Raw</w:t>
      </w:r>
      <w:proofErr w:type="spellEnd"/>
      <w:r>
        <w:rPr>
          <w:rFonts w:ascii="Cambria" w:hAnsi="Cambria" w:cs="HelveticaNeue-Roman"/>
          <w:color w:val="002060"/>
          <w:sz w:val="24"/>
          <w:szCs w:val="19"/>
        </w:rPr>
        <w:t xml:space="preserve"> Alejandro es la canción más escuchada, seguida de “Pareja del año” de Sebastián </w:t>
      </w:r>
      <w:proofErr w:type="spellStart"/>
      <w:r>
        <w:rPr>
          <w:rFonts w:ascii="Cambria" w:hAnsi="Cambria" w:cs="HelveticaNeue-Roman"/>
          <w:color w:val="002060"/>
          <w:sz w:val="24"/>
          <w:szCs w:val="19"/>
        </w:rPr>
        <w:t>Yatra</w:t>
      </w:r>
      <w:proofErr w:type="spellEnd"/>
      <w:r>
        <w:rPr>
          <w:rFonts w:ascii="Cambria" w:hAnsi="Cambria" w:cs="HelveticaNeue-Roman"/>
          <w:color w:val="002060"/>
          <w:sz w:val="24"/>
          <w:szCs w:val="19"/>
        </w:rPr>
        <w:t xml:space="preserve"> y </w:t>
      </w:r>
      <w:proofErr w:type="spellStart"/>
      <w:r>
        <w:rPr>
          <w:rFonts w:ascii="Cambria" w:hAnsi="Cambria" w:cs="HelveticaNeue-Roman"/>
          <w:color w:val="002060"/>
          <w:sz w:val="24"/>
          <w:szCs w:val="19"/>
        </w:rPr>
        <w:t>Myke</w:t>
      </w:r>
      <w:proofErr w:type="spellEnd"/>
      <w:r>
        <w:rPr>
          <w:rFonts w:ascii="Cambria" w:hAnsi="Cambria" w:cs="HelveticaNeue-Roman"/>
          <w:color w:val="002060"/>
          <w:sz w:val="24"/>
          <w:szCs w:val="19"/>
        </w:rPr>
        <w:t xml:space="preserve"> </w:t>
      </w:r>
      <w:proofErr w:type="spellStart"/>
      <w:r>
        <w:rPr>
          <w:rFonts w:ascii="Cambria" w:hAnsi="Cambria" w:cs="HelveticaNeue-Roman"/>
          <w:color w:val="002060"/>
          <w:sz w:val="24"/>
          <w:szCs w:val="19"/>
        </w:rPr>
        <w:t>Towers</w:t>
      </w:r>
      <w:proofErr w:type="spellEnd"/>
      <w:r>
        <w:rPr>
          <w:rFonts w:ascii="Cambria" w:hAnsi="Cambria" w:cs="HelveticaNeue-Roman"/>
          <w:color w:val="002060"/>
          <w:sz w:val="24"/>
          <w:szCs w:val="19"/>
        </w:rPr>
        <w:t xml:space="preserve"> y “</w:t>
      </w:r>
      <w:proofErr w:type="spellStart"/>
      <w:r>
        <w:rPr>
          <w:rFonts w:ascii="Cambria" w:hAnsi="Cambria" w:cs="HelveticaNeue-Roman"/>
          <w:color w:val="002060"/>
          <w:sz w:val="24"/>
          <w:szCs w:val="19"/>
        </w:rPr>
        <w:t>Yonaguni</w:t>
      </w:r>
      <w:proofErr w:type="spellEnd"/>
      <w:r>
        <w:rPr>
          <w:rFonts w:ascii="Cambria" w:hAnsi="Cambria" w:cs="HelveticaNeue-Roman"/>
          <w:color w:val="002060"/>
          <w:sz w:val="24"/>
          <w:szCs w:val="19"/>
        </w:rPr>
        <w:t xml:space="preserve">” de </w:t>
      </w:r>
      <w:proofErr w:type="spellStart"/>
      <w:r>
        <w:rPr>
          <w:rFonts w:ascii="Cambria" w:hAnsi="Cambria" w:cs="HelveticaNeue-Roman"/>
          <w:color w:val="002060"/>
          <w:sz w:val="24"/>
          <w:szCs w:val="19"/>
        </w:rPr>
        <w:t>Bad</w:t>
      </w:r>
      <w:proofErr w:type="spellEnd"/>
      <w:r>
        <w:rPr>
          <w:rFonts w:ascii="Cambria" w:hAnsi="Cambria" w:cs="HelveticaNeue-Roman"/>
          <w:color w:val="002060"/>
          <w:sz w:val="24"/>
          <w:szCs w:val="19"/>
        </w:rPr>
        <w:t xml:space="preserve"> </w:t>
      </w:r>
      <w:proofErr w:type="spellStart"/>
      <w:r>
        <w:rPr>
          <w:rFonts w:ascii="Cambria" w:hAnsi="Cambria" w:cs="HelveticaNeue-Roman"/>
          <w:color w:val="002060"/>
          <w:sz w:val="24"/>
          <w:szCs w:val="19"/>
        </w:rPr>
        <w:t>Bunny</w:t>
      </w:r>
      <w:proofErr w:type="spellEnd"/>
      <w:r>
        <w:rPr>
          <w:rFonts w:ascii="Cambria" w:hAnsi="Cambria" w:cs="HelveticaNeue-Roman"/>
          <w:color w:val="002060"/>
          <w:sz w:val="24"/>
          <w:szCs w:val="19"/>
        </w:rPr>
        <w:t xml:space="preserve">. </w:t>
      </w:r>
    </w:p>
    <w:p w:rsidR="00CA3C42" w:rsidRDefault="00CA3C42" w:rsidP="00591091">
      <w:pPr>
        <w:autoSpaceDE w:val="0"/>
        <w:autoSpaceDN w:val="0"/>
        <w:adjustRightInd w:val="0"/>
        <w:spacing w:after="0" w:line="240" w:lineRule="auto"/>
        <w:rPr>
          <w:rFonts w:ascii="Cambria" w:hAnsi="Cambria" w:cs="HelveticaNeue-Roman"/>
          <w:color w:val="002060"/>
          <w:sz w:val="24"/>
          <w:szCs w:val="19"/>
        </w:rPr>
      </w:pPr>
    </w:p>
    <w:p w:rsidR="00905B7D" w:rsidRPr="00854C97" w:rsidRDefault="00905B7D" w:rsidP="00905B7D">
      <w:pPr>
        <w:autoSpaceDE w:val="0"/>
        <w:autoSpaceDN w:val="0"/>
        <w:adjustRightInd w:val="0"/>
        <w:spacing w:after="0" w:line="240" w:lineRule="auto"/>
        <w:rPr>
          <w:rFonts w:ascii="Cambria" w:hAnsi="Cambria" w:cs="HelveticaNeue-Roman"/>
          <w:b/>
          <w:color w:val="002060"/>
          <w:sz w:val="24"/>
          <w:szCs w:val="19"/>
        </w:rPr>
      </w:pPr>
      <w:r>
        <w:rPr>
          <w:rFonts w:ascii="Cambria" w:hAnsi="Cambria" w:cs="HelveticaNeue-Roman"/>
          <w:b/>
          <w:color w:val="002060"/>
          <w:sz w:val="24"/>
          <w:szCs w:val="19"/>
        </w:rPr>
        <w:t xml:space="preserve">Cine </w:t>
      </w:r>
      <w:r>
        <w:rPr>
          <w:rFonts w:ascii="Cambria" w:hAnsi="Cambria" w:cs="HelveticaNeue-Roman"/>
          <w:b/>
          <w:color w:val="002060"/>
          <w:sz w:val="24"/>
          <w:szCs w:val="19"/>
        </w:rPr>
        <w:br/>
      </w:r>
      <w:r>
        <w:rPr>
          <w:rFonts w:ascii="Cambria" w:hAnsi="Cambria" w:cs="HelveticaNeue-Roman"/>
          <w:color w:val="002060"/>
          <w:sz w:val="24"/>
          <w:szCs w:val="19"/>
        </w:rPr>
        <w:t xml:space="preserve">Los datos reflejan una situación similar a la de las artes en vivo. En 2021, respecto a los datos de 2020, se reflejan </w:t>
      </w:r>
      <w:r w:rsidRPr="00905B7D">
        <w:rPr>
          <w:rFonts w:ascii="Cambria" w:hAnsi="Cambria" w:cs="HelveticaNeue-Roman"/>
          <w:color w:val="002060"/>
          <w:sz w:val="24"/>
          <w:szCs w:val="19"/>
        </w:rPr>
        <w:t xml:space="preserve">unas </w:t>
      </w:r>
      <w:r w:rsidRPr="00536E41">
        <w:rPr>
          <w:rFonts w:ascii="Cambria" w:hAnsi="Cambria" w:cs="HelveticaNeue-Roman"/>
          <w:b/>
          <w:color w:val="002060"/>
          <w:sz w:val="24"/>
          <w:szCs w:val="19"/>
        </w:rPr>
        <w:t>subidas del 44,9% en el número de sesiones programadas, del 55,4% en el número de espectadores y del 56,6% en la recaudación.</w:t>
      </w:r>
      <w:r w:rsidRPr="00905B7D">
        <w:rPr>
          <w:rFonts w:ascii="Cambria" w:hAnsi="Cambria" w:cs="HelveticaNeue-Roman"/>
          <w:color w:val="002060"/>
          <w:sz w:val="24"/>
          <w:szCs w:val="19"/>
        </w:rPr>
        <w:t xml:space="preserve"> Sin embargo, si la comparativa enfrenta las cifras </w:t>
      </w:r>
      <w:r>
        <w:rPr>
          <w:rFonts w:ascii="Cambria" w:hAnsi="Cambria" w:cs="HelveticaNeue-Roman"/>
          <w:color w:val="002060"/>
          <w:sz w:val="24"/>
          <w:szCs w:val="19"/>
        </w:rPr>
        <w:t>con las de</w:t>
      </w:r>
      <w:r w:rsidRPr="00905B7D">
        <w:rPr>
          <w:rFonts w:ascii="Cambria" w:hAnsi="Cambria" w:cs="HelveticaNeue-Roman"/>
          <w:color w:val="002060"/>
          <w:sz w:val="24"/>
          <w:szCs w:val="19"/>
        </w:rPr>
        <w:t xml:space="preserve"> 2019, los re</w:t>
      </w:r>
      <w:r>
        <w:rPr>
          <w:rFonts w:ascii="Cambria" w:hAnsi="Cambria" w:cs="HelveticaNeue-Roman"/>
          <w:color w:val="002060"/>
          <w:sz w:val="24"/>
          <w:szCs w:val="19"/>
        </w:rPr>
        <w:t xml:space="preserve">sultados son muy diferentes: se observan </w:t>
      </w:r>
      <w:r w:rsidRPr="00854C97">
        <w:rPr>
          <w:rFonts w:ascii="Cambria" w:hAnsi="Cambria" w:cs="HelveticaNeue-Roman"/>
          <w:b/>
          <w:color w:val="002060"/>
          <w:sz w:val="24"/>
          <w:szCs w:val="19"/>
        </w:rPr>
        <w:t>descensos del 38,3% en las sesiones ofertadas, del 60,7% en la asistencia y del 59,5% en la recaudación.</w:t>
      </w:r>
    </w:p>
    <w:p w:rsidR="00905B7D" w:rsidRDefault="00905B7D" w:rsidP="00905B7D">
      <w:pPr>
        <w:autoSpaceDE w:val="0"/>
        <w:autoSpaceDN w:val="0"/>
        <w:adjustRightInd w:val="0"/>
        <w:spacing w:after="0" w:line="240" w:lineRule="auto"/>
        <w:rPr>
          <w:rFonts w:ascii="Cambria" w:hAnsi="Cambria" w:cs="HelveticaNeue-Roman"/>
          <w:color w:val="002060"/>
          <w:sz w:val="24"/>
          <w:szCs w:val="19"/>
        </w:rPr>
      </w:pPr>
    </w:p>
    <w:p w:rsidR="00022C53" w:rsidRPr="00905B7D" w:rsidRDefault="00905B7D" w:rsidP="00022C53">
      <w:pPr>
        <w:autoSpaceDE w:val="0"/>
        <w:autoSpaceDN w:val="0"/>
        <w:adjustRightInd w:val="0"/>
        <w:spacing w:after="0" w:line="240" w:lineRule="auto"/>
        <w:rPr>
          <w:rFonts w:ascii="Cambria" w:hAnsi="Cambria" w:cs="HelveticaNeue-Roman"/>
          <w:color w:val="002060"/>
          <w:sz w:val="24"/>
          <w:szCs w:val="19"/>
        </w:rPr>
      </w:pPr>
      <w:r>
        <w:rPr>
          <w:rFonts w:ascii="Cambria" w:hAnsi="Cambria" w:cs="HelveticaNeue-Roman"/>
          <w:color w:val="002060"/>
          <w:sz w:val="24"/>
          <w:szCs w:val="19"/>
        </w:rPr>
        <w:t xml:space="preserve">En cuanto a la media de asistencia </w:t>
      </w:r>
      <w:r w:rsidR="00930063">
        <w:rPr>
          <w:rFonts w:ascii="Cambria" w:hAnsi="Cambria" w:cs="HelveticaNeue-Roman"/>
          <w:color w:val="002060"/>
          <w:sz w:val="24"/>
          <w:szCs w:val="19"/>
        </w:rPr>
        <w:t>a las salas de cine</w:t>
      </w:r>
      <w:r>
        <w:rPr>
          <w:rFonts w:ascii="Cambria" w:hAnsi="Cambria" w:cs="HelveticaNeue-Roman"/>
          <w:color w:val="002060"/>
          <w:sz w:val="24"/>
          <w:szCs w:val="19"/>
        </w:rPr>
        <w:t xml:space="preserve"> por habitante se mantiene </w:t>
      </w:r>
      <w:r w:rsidR="00930063">
        <w:rPr>
          <w:rFonts w:ascii="Cambria" w:hAnsi="Cambria" w:cs="HelveticaNeue-Roman"/>
          <w:color w:val="002060"/>
          <w:sz w:val="24"/>
          <w:szCs w:val="19"/>
        </w:rPr>
        <w:t>en</w:t>
      </w:r>
      <w:r>
        <w:rPr>
          <w:rFonts w:ascii="Cambria" w:hAnsi="Cambria" w:cs="HelveticaNeue-Roman"/>
          <w:color w:val="002060"/>
          <w:sz w:val="24"/>
          <w:szCs w:val="19"/>
        </w:rPr>
        <w:t xml:space="preserve"> una única vez al año: </w:t>
      </w:r>
      <w:r w:rsidRPr="00905B7D">
        <w:rPr>
          <w:rFonts w:ascii="Cambria" w:hAnsi="Cambria" w:cs="HelveticaNeue-Roman"/>
          <w:color w:val="002060"/>
          <w:sz w:val="24"/>
          <w:szCs w:val="19"/>
        </w:rPr>
        <w:t xml:space="preserve">Solo </w:t>
      </w:r>
      <w:r>
        <w:rPr>
          <w:rFonts w:ascii="Cambria" w:hAnsi="Cambria" w:cs="HelveticaNeue-Roman"/>
          <w:color w:val="002060"/>
          <w:sz w:val="24"/>
          <w:szCs w:val="19"/>
        </w:rPr>
        <w:t>Madrid (c</w:t>
      </w:r>
      <w:r w:rsidRPr="00905B7D">
        <w:rPr>
          <w:rFonts w:ascii="Cambria" w:hAnsi="Cambria" w:cs="HelveticaNeue-Roman"/>
          <w:color w:val="002060"/>
          <w:sz w:val="24"/>
          <w:szCs w:val="19"/>
        </w:rPr>
        <w:t>on 1,28</w:t>
      </w:r>
      <w:r>
        <w:rPr>
          <w:rFonts w:ascii="Cambria" w:hAnsi="Cambria" w:cs="HelveticaNeue-Roman"/>
          <w:color w:val="002060"/>
          <w:sz w:val="24"/>
          <w:szCs w:val="19"/>
        </w:rPr>
        <w:t>)</w:t>
      </w:r>
      <w:r w:rsidRPr="00905B7D">
        <w:rPr>
          <w:rFonts w:ascii="Cambria" w:hAnsi="Cambria" w:cs="HelveticaNeue-Roman"/>
          <w:color w:val="002060"/>
          <w:sz w:val="24"/>
          <w:szCs w:val="19"/>
        </w:rPr>
        <w:t xml:space="preserve">, y </w:t>
      </w:r>
      <w:r>
        <w:rPr>
          <w:rFonts w:ascii="Cambria" w:hAnsi="Cambria" w:cs="HelveticaNeue-Roman"/>
          <w:color w:val="002060"/>
          <w:sz w:val="24"/>
          <w:szCs w:val="19"/>
        </w:rPr>
        <w:t>Cataluña (</w:t>
      </w:r>
      <w:r w:rsidRPr="00905B7D">
        <w:rPr>
          <w:rFonts w:ascii="Cambria" w:hAnsi="Cambria" w:cs="HelveticaNeue-Roman"/>
          <w:color w:val="002060"/>
          <w:sz w:val="24"/>
          <w:szCs w:val="19"/>
        </w:rPr>
        <w:t>con 1,01</w:t>
      </w:r>
      <w:r>
        <w:rPr>
          <w:rFonts w:ascii="Cambria" w:hAnsi="Cambria" w:cs="HelveticaNeue-Roman"/>
          <w:color w:val="002060"/>
          <w:sz w:val="24"/>
          <w:szCs w:val="19"/>
        </w:rPr>
        <w:t>) superan la media estatal</w:t>
      </w:r>
      <w:r w:rsidRPr="00905B7D">
        <w:rPr>
          <w:rFonts w:ascii="Cambria" w:hAnsi="Cambria" w:cs="HelveticaNeue-Roman"/>
          <w:color w:val="002060"/>
          <w:sz w:val="24"/>
          <w:szCs w:val="19"/>
        </w:rPr>
        <w:t>.</w:t>
      </w:r>
      <w:r>
        <w:rPr>
          <w:rFonts w:ascii="Cambria" w:hAnsi="Cambria" w:cs="HelveticaNeue-Roman"/>
          <w:color w:val="002060"/>
          <w:sz w:val="24"/>
          <w:szCs w:val="19"/>
        </w:rPr>
        <w:t xml:space="preserve"> Ambas Comunidades ostentan los precios más altos por entrada: </w:t>
      </w:r>
    </w:p>
    <w:p w:rsidR="00930063" w:rsidRDefault="00905B7D" w:rsidP="00022C53">
      <w:pPr>
        <w:autoSpaceDE w:val="0"/>
        <w:autoSpaceDN w:val="0"/>
        <w:adjustRightInd w:val="0"/>
        <w:spacing w:after="0" w:line="240" w:lineRule="auto"/>
        <w:rPr>
          <w:rFonts w:ascii="Cambria" w:hAnsi="Cambria" w:cs="HelveticaNeue-Roman"/>
          <w:color w:val="002060"/>
          <w:sz w:val="24"/>
          <w:szCs w:val="19"/>
        </w:rPr>
      </w:pPr>
      <w:r w:rsidRPr="00905B7D">
        <w:rPr>
          <w:rFonts w:ascii="Cambria" w:hAnsi="Cambria" w:cs="HelveticaNeue-Roman"/>
          <w:color w:val="002060"/>
          <w:sz w:val="24"/>
          <w:szCs w:val="19"/>
        </w:rPr>
        <w:t>6,60 euros</w:t>
      </w:r>
      <w:r w:rsidR="00930063">
        <w:rPr>
          <w:rFonts w:ascii="Cambria" w:hAnsi="Cambria" w:cs="HelveticaNeue-Roman"/>
          <w:color w:val="002060"/>
          <w:sz w:val="24"/>
          <w:szCs w:val="19"/>
        </w:rPr>
        <w:t xml:space="preserve"> en Madrid y 6,52 en Cataluña, mientras que la media se sitúa en 6 euros.</w:t>
      </w:r>
      <w:r w:rsidR="00022C53">
        <w:rPr>
          <w:rFonts w:ascii="Cambria" w:hAnsi="Cambria" w:cs="HelveticaNeue-Roman"/>
          <w:color w:val="002060"/>
          <w:sz w:val="24"/>
          <w:szCs w:val="19"/>
        </w:rPr>
        <w:t xml:space="preserve"> </w:t>
      </w:r>
    </w:p>
    <w:p w:rsidR="00930063" w:rsidRDefault="00930063" w:rsidP="00022C53">
      <w:pPr>
        <w:autoSpaceDE w:val="0"/>
        <w:autoSpaceDN w:val="0"/>
        <w:adjustRightInd w:val="0"/>
        <w:spacing w:after="0" w:line="240" w:lineRule="auto"/>
        <w:rPr>
          <w:rFonts w:ascii="Cambria" w:hAnsi="Cambria" w:cs="HelveticaNeue-Roman"/>
          <w:color w:val="002060"/>
          <w:sz w:val="24"/>
          <w:szCs w:val="19"/>
        </w:rPr>
      </w:pPr>
    </w:p>
    <w:p w:rsidR="00905B7D" w:rsidRPr="00930063" w:rsidRDefault="00930063" w:rsidP="00022C53">
      <w:pPr>
        <w:autoSpaceDE w:val="0"/>
        <w:autoSpaceDN w:val="0"/>
        <w:adjustRightInd w:val="0"/>
        <w:spacing w:after="0" w:line="240" w:lineRule="auto"/>
        <w:rPr>
          <w:rFonts w:ascii="Cambria" w:hAnsi="Cambria" w:cs="HelveticaNeue-Roman"/>
          <w:color w:val="002060"/>
          <w:sz w:val="24"/>
          <w:szCs w:val="19"/>
        </w:rPr>
      </w:pPr>
      <w:r>
        <w:rPr>
          <w:rFonts w:ascii="Cambria" w:hAnsi="Cambria" w:cs="HelveticaNeue-Roman"/>
          <w:color w:val="002060"/>
          <w:sz w:val="24"/>
          <w:szCs w:val="19"/>
        </w:rPr>
        <w:t>Por último, l</w:t>
      </w:r>
      <w:r w:rsidR="00022C53" w:rsidRPr="00022C53">
        <w:rPr>
          <w:rFonts w:ascii="Cambria" w:hAnsi="Cambria" w:cs="HelveticaNeue-Roman"/>
          <w:color w:val="002060"/>
          <w:sz w:val="24"/>
          <w:szCs w:val="19"/>
        </w:rPr>
        <w:t>a película de cine familiar</w:t>
      </w:r>
      <w:r w:rsidR="00422DB0">
        <w:rPr>
          <w:rFonts w:ascii="Cambria" w:hAnsi="Cambria" w:cs="HelveticaNeue-Roman"/>
          <w:color w:val="002060"/>
          <w:sz w:val="24"/>
          <w:szCs w:val="19"/>
        </w:rPr>
        <w:t xml:space="preserve"> </w:t>
      </w:r>
      <w:r w:rsidRPr="00930063">
        <w:rPr>
          <w:rFonts w:ascii="Cambria" w:hAnsi="Cambria" w:cs="HelveticaNeue-Roman"/>
          <w:color w:val="002060"/>
          <w:sz w:val="24"/>
          <w:szCs w:val="19"/>
        </w:rPr>
        <w:t>“</w:t>
      </w:r>
      <w:r w:rsidR="00022C53" w:rsidRPr="00930063">
        <w:rPr>
          <w:rFonts w:ascii="Cambria" w:hAnsi="Cambria" w:cs="HelveticaNeue-Roman"/>
          <w:color w:val="002060"/>
          <w:sz w:val="24"/>
          <w:szCs w:val="19"/>
        </w:rPr>
        <w:t>¡A todo tren! Destino Asturias</w:t>
      </w:r>
      <w:r w:rsidRPr="00930063">
        <w:rPr>
          <w:rFonts w:ascii="Cambria" w:hAnsi="Cambria" w:cs="HelveticaNeue-Roman"/>
          <w:color w:val="002060"/>
          <w:sz w:val="24"/>
          <w:szCs w:val="19"/>
        </w:rPr>
        <w:t>”</w:t>
      </w:r>
      <w:r w:rsidR="00422DB0" w:rsidRPr="00930063">
        <w:rPr>
          <w:rFonts w:ascii="Cambria" w:hAnsi="Cambria" w:cs="HelveticaNeue-Roman"/>
          <w:color w:val="002060"/>
          <w:sz w:val="24"/>
          <w:szCs w:val="19"/>
        </w:rPr>
        <w:t>,</w:t>
      </w:r>
      <w:r w:rsidR="00422DB0">
        <w:rPr>
          <w:rFonts w:ascii="Cambria" w:hAnsi="Cambria" w:cs="HelveticaNeue-Roman"/>
          <w:color w:val="002060"/>
          <w:sz w:val="24"/>
          <w:szCs w:val="19"/>
        </w:rPr>
        <w:t xml:space="preserve"> dirigida y </w:t>
      </w:r>
      <w:r w:rsidR="00022C53" w:rsidRPr="00022C53">
        <w:rPr>
          <w:rFonts w:ascii="Cambria" w:hAnsi="Cambria" w:cs="HelveticaNeue-Roman"/>
          <w:color w:val="002060"/>
          <w:sz w:val="24"/>
          <w:szCs w:val="19"/>
        </w:rPr>
        <w:t>protagonizada por Santiago Segura, encabeza el listado de las películas españolas con mayo</w:t>
      </w:r>
      <w:r w:rsidR="00422DB0">
        <w:rPr>
          <w:rFonts w:ascii="Cambria" w:hAnsi="Cambria" w:cs="HelveticaNeue-Roman"/>
          <w:color w:val="002060"/>
          <w:sz w:val="24"/>
          <w:szCs w:val="19"/>
        </w:rPr>
        <w:t xml:space="preserve">r recaudación en España </w:t>
      </w:r>
      <w:r w:rsidR="00022C53" w:rsidRPr="00022C53">
        <w:rPr>
          <w:rFonts w:ascii="Cambria" w:hAnsi="Cambria" w:cs="HelveticaNeue-Roman"/>
          <w:color w:val="002060"/>
          <w:sz w:val="24"/>
          <w:szCs w:val="19"/>
        </w:rPr>
        <w:t>durante 2021.</w:t>
      </w:r>
      <w:r>
        <w:rPr>
          <w:rFonts w:ascii="Cambria" w:hAnsi="Cambria" w:cs="HelveticaNeue-Roman"/>
          <w:color w:val="002060"/>
          <w:sz w:val="24"/>
          <w:szCs w:val="19"/>
        </w:rPr>
        <w:t xml:space="preserve"> Huelga destacar que esta cinta lideró las taquillas de toda España salvo del País Vasco, donde se impuso el último largometraje de </w:t>
      </w:r>
      <w:proofErr w:type="spellStart"/>
      <w:r>
        <w:rPr>
          <w:rFonts w:ascii="Cambria" w:hAnsi="Cambria" w:cs="HelveticaNeue-Roman"/>
          <w:color w:val="002060"/>
          <w:sz w:val="24"/>
          <w:szCs w:val="19"/>
        </w:rPr>
        <w:t>Icíar</w:t>
      </w:r>
      <w:proofErr w:type="spellEnd"/>
      <w:r>
        <w:rPr>
          <w:rFonts w:ascii="Cambria" w:hAnsi="Cambria" w:cs="HelveticaNeue-Roman"/>
          <w:color w:val="002060"/>
          <w:sz w:val="24"/>
          <w:szCs w:val="19"/>
        </w:rPr>
        <w:t xml:space="preserve"> </w:t>
      </w:r>
      <w:proofErr w:type="spellStart"/>
      <w:r>
        <w:rPr>
          <w:rFonts w:ascii="Cambria" w:hAnsi="Cambria" w:cs="HelveticaNeue-Roman"/>
          <w:color w:val="002060"/>
          <w:sz w:val="24"/>
          <w:szCs w:val="19"/>
        </w:rPr>
        <w:t>Bollaín</w:t>
      </w:r>
      <w:proofErr w:type="spellEnd"/>
      <w:r>
        <w:rPr>
          <w:rFonts w:ascii="Cambria" w:hAnsi="Cambria" w:cs="HelveticaNeue-Roman"/>
          <w:color w:val="002060"/>
          <w:sz w:val="24"/>
          <w:szCs w:val="19"/>
        </w:rPr>
        <w:t xml:space="preserve"> “</w:t>
      </w:r>
      <w:proofErr w:type="spellStart"/>
      <w:r>
        <w:rPr>
          <w:rFonts w:ascii="Cambria" w:hAnsi="Cambria" w:cs="HelveticaNeue-Roman"/>
          <w:color w:val="002060"/>
          <w:sz w:val="24"/>
          <w:szCs w:val="19"/>
        </w:rPr>
        <w:t>Maixabel</w:t>
      </w:r>
      <w:proofErr w:type="spellEnd"/>
      <w:r>
        <w:rPr>
          <w:rFonts w:ascii="Cambria" w:hAnsi="Cambria" w:cs="HelveticaNeue-Roman"/>
          <w:color w:val="002060"/>
          <w:sz w:val="24"/>
          <w:szCs w:val="19"/>
        </w:rPr>
        <w:t xml:space="preserve">”. </w:t>
      </w:r>
    </w:p>
    <w:p w:rsidR="00422DB0" w:rsidRDefault="00422DB0" w:rsidP="00022C53">
      <w:pPr>
        <w:autoSpaceDE w:val="0"/>
        <w:autoSpaceDN w:val="0"/>
        <w:adjustRightInd w:val="0"/>
        <w:spacing w:after="0" w:line="240" w:lineRule="auto"/>
        <w:rPr>
          <w:rFonts w:ascii="Cambria" w:hAnsi="Cambria" w:cs="HelveticaNeue-Roman"/>
          <w:color w:val="002060"/>
          <w:sz w:val="24"/>
          <w:szCs w:val="19"/>
        </w:rPr>
      </w:pPr>
    </w:p>
    <w:p w:rsidR="00422DB0" w:rsidRPr="00422DB0" w:rsidRDefault="00422DB0" w:rsidP="00422DB0">
      <w:pPr>
        <w:autoSpaceDE w:val="0"/>
        <w:autoSpaceDN w:val="0"/>
        <w:adjustRightInd w:val="0"/>
        <w:spacing w:after="0" w:line="240" w:lineRule="auto"/>
        <w:rPr>
          <w:rFonts w:ascii="Cambria" w:hAnsi="Cambria" w:cs="HelveticaNeue-Roman"/>
          <w:b/>
          <w:color w:val="002060"/>
          <w:sz w:val="24"/>
          <w:szCs w:val="19"/>
        </w:rPr>
      </w:pPr>
      <w:r>
        <w:rPr>
          <w:rFonts w:ascii="Cambria" w:hAnsi="Cambria" w:cs="HelveticaNeue-Roman"/>
          <w:b/>
          <w:color w:val="002060"/>
          <w:sz w:val="24"/>
          <w:szCs w:val="19"/>
        </w:rPr>
        <w:t>Consumo de radio y televisión</w:t>
      </w:r>
    </w:p>
    <w:p w:rsidR="0073328F" w:rsidRDefault="00422DB0" w:rsidP="007C2A00">
      <w:pPr>
        <w:autoSpaceDE w:val="0"/>
        <w:autoSpaceDN w:val="0"/>
        <w:adjustRightInd w:val="0"/>
        <w:spacing w:after="0" w:line="240" w:lineRule="auto"/>
        <w:rPr>
          <w:rFonts w:ascii="Cambria" w:hAnsi="Cambria" w:cs="HelveticaNeue-Roman"/>
          <w:color w:val="002060"/>
          <w:sz w:val="24"/>
          <w:szCs w:val="19"/>
        </w:rPr>
      </w:pPr>
      <w:r>
        <w:rPr>
          <w:rFonts w:ascii="Cambria" w:hAnsi="Cambria" w:cs="HelveticaNeue-Roman"/>
          <w:color w:val="002060"/>
          <w:sz w:val="24"/>
          <w:szCs w:val="19"/>
        </w:rPr>
        <w:t>El consumo de televisión vuelve a mantener la tendencia de los últimos años y se aparta del camin</w:t>
      </w:r>
      <w:r w:rsidR="007C2A00">
        <w:rPr>
          <w:rFonts w:ascii="Cambria" w:hAnsi="Cambria" w:cs="HelveticaNeue-Roman"/>
          <w:color w:val="002060"/>
          <w:sz w:val="24"/>
          <w:szCs w:val="19"/>
        </w:rPr>
        <w:t xml:space="preserve">o emprendido en 2020, cuando su </w:t>
      </w:r>
      <w:r>
        <w:rPr>
          <w:rFonts w:ascii="Cambria" w:hAnsi="Cambria" w:cs="HelveticaNeue-Roman"/>
          <w:color w:val="002060"/>
          <w:sz w:val="24"/>
          <w:szCs w:val="19"/>
        </w:rPr>
        <w:t>consumo aumentó</w:t>
      </w:r>
      <w:r w:rsidR="007C2A00">
        <w:rPr>
          <w:rFonts w:ascii="Cambria" w:hAnsi="Cambria" w:cs="HelveticaNeue-Roman"/>
          <w:color w:val="002060"/>
          <w:sz w:val="24"/>
          <w:szCs w:val="19"/>
        </w:rPr>
        <w:t xml:space="preserve"> motivado por </w:t>
      </w:r>
      <w:r w:rsidR="00930063">
        <w:rPr>
          <w:rFonts w:ascii="Cambria" w:hAnsi="Cambria" w:cs="HelveticaNeue-Roman"/>
          <w:color w:val="002060"/>
          <w:sz w:val="24"/>
          <w:szCs w:val="19"/>
        </w:rPr>
        <w:t>las restricciones</w:t>
      </w:r>
      <w:r w:rsidR="007C2A00">
        <w:rPr>
          <w:rFonts w:ascii="Cambria" w:hAnsi="Cambria" w:cs="HelveticaNeue-Roman"/>
          <w:color w:val="002060"/>
          <w:sz w:val="24"/>
          <w:szCs w:val="19"/>
        </w:rPr>
        <w:t xml:space="preserve"> sanitarias de las Comunidades Autónomas</w:t>
      </w:r>
      <w:r>
        <w:rPr>
          <w:rFonts w:ascii="Cambria" w:hAnsi="Cambria" w:cs="HelveticaNeue-Roman"/>
          <w:color w:val="002060"/>
          <w:sz w:val="24"/>
          <w:szCs w:val="19"/>
        </w:rPr>
        <w:t xml:space="preserve">. </w:t>
      </w:r>
      <w:r w:rsidRPr="00422DB0">
        <w:rPr>
          <w:rFonts w:ascii="Cambria" w:hAnsi="Cambria" w:cs="HelveticaNeue-Roman"/>
          <w:color w:val="002060"/>
          <w:sz w:val="24"/>
          <w:szCs w:val="19"/>
        </w:rPr>
        <w:t>Al contrario de lo que sucediera el año anterior, en 2021 se registra una important</w:t>
      </w:r>
      <w:r w:rsidR="007C2A00">
        <w:rPr>
          <w:rFonts w:ascii="Cambria" w:hAnsi="Cambria" w:cs="HelveticaNeue-Roman"/>
          <w:color w:val="002060"/>
          <w:sz w:val="24"/>
          <w:szCs w:val="19"/>
        </w:rPr>
        <w:t xml:space="preserve">e </w:t>
      </w:r>
      <w:r w:rsidR="007C2A00" w:rsidRPr="00854C97">
        <w:rPr>
          <w:rFonts w:ascii="Cambria" w:hAnsi="Cambria" w:cs="HelveticaNeue-Roman"/>
          <w:b/>
          <w:color w:val="002060"/>
          <w:sz w:val="24"/>
          <w:szCs w:val="19"/>
        </w:rPr>
        <w:t xml:space="preserve">caída en la media del consumo </w:t>
      </w:r>
      <w:r w:rsidRPr="00854C97">
        <w:rPr>
          <w:rFonts w:ascii="Cambria" w:hAnsi="Cambria" w:cs="HelveticaNeue-Roman"/>
          <w:b/>
          <w:color w:val="002060"/>
          <w:sz w:val="24"/>
          <w:szCs w:val="19"/>
        </w:rPr>
        <w:t>televisivo por persona al día</w:t>
      </w:r>
      <w:r w:rsidRPr="00422DB0">
        <w:rPr>
          <w:rFonts w:ascii="Cambria" w:hAnsi="Cambria" w:cs="HelveticaNeue-Roman"/>
          <w:color w:val="002060"/>
          <w:sz w:val="24"/>
          <w:szCs w:val="19"/>
        </w:rPr>
        <w:t>. De 231 minutos diarios se pasa a 205, lo que i</w:t>
      </w:r>
      <w:r w:rsidR="007C2A00">
        <w:rPr>
          <w:rFonts w:ascii="Cambria" w:hAnsi="Cambria" w:cs="HelveticaNeue-Roman"/>
          <w:color w:val="002060"/>
          <w:sz w:val="24"/>
          <w:szCs w:val="19"/>
        </w:rPr>
        <w:t xml:space="preserve">mplica un descenso en el último </w:t>
      </w:r>
      <w:r w:rsidRPr="00422DB0">
        <w:rPr>
          <w:rFonts w:ascii="Cambria" w:hAnsi="Cambria" w:cs="HelveticaNeue-Roman"/>
          <w:color w:val="002060"/>
          <w:sz w:val="24"/>
          <w:szCs w:val="19"/>
        </w:rPr>
        <w:t xml:space="preserve">año de 26 minutos. </w:t>
      </w:r>
      <w:r w:rsidR="007C2A00">
        <w:rPr>
          <w:rFonts w:ascii="Cambria" w:hAnsi="Cambria" w:cs="HelveticaNeue-Roman"/>
          <w:color w:val="002060"/>
          <w:sz w:val="24"/>
          <w:szCs w:val="19"/>
        </w:rPr>
        <w:t xml:space="preserve"> </w:t>
      </w:r>
      <w:r w:rsidR="00930063">
        <w:rPr>
          <w:rFonts w:ascii="Cambria" w:hAnsi="Cambria" w:cs="HelveticaNeue-Roman"/>
          <w:color w:val="002060"/>
          <w:sz w:val="24"/>
          <w:szCs w:val="19"/>
        </w:rPr>
        <w:t xml:space="preserve">Pese a ello, </w:t>
      </w:r>
    </w:p>
    <w:p w:rsidR="0073328F" w:rsidRDefault="0073328F" w:rsidP="007C2A00">
      <w:pPr>
        <w:autoSpaceDE w:val="0"/>
        <w:autoSpaceDN w:val="0"/>
        <w:adjustRightInd w:val="0"/>
        <w:spacing w:after="0" w:line="240" w:lineRule="auto"/>
        <w:rPr>
          <w:rFonts w:ascii="Cambria" w:hAnsi="Cambria" w:cs="HelveticaNeue-Roman"/>
          <w:color w:val="002060"/>
          <w:sz w:val="24"/>
          <w:szCs w:val="19"/>
        </w:rPr>
      </w:pPr>
    </w:p>
    <w:p w:rsidR="0073328F" w:rsidRDefault="0073328F" w:rsidP="007C2A00">
      <w:pPr>
        <w:autoSpaceDE w:val="0"/>
        <w:autoSpaceDN w:val="0"/>
        <w:adjustRightInd w:val="0"/>
        <w:spacing w:after="0" w:line="240" w:lineRule="auto"/>
        <w:rPr>
          <w:rFonts w:ascii="Cambria" w:hAnsi="Cambria" w:cs="HelveticaNeue-Roman"/>
          <w:color w:val="002060"/>
          <w:sz w:val="24"/>
          <w:szCs w:val="19"/>
        </w:rPr>
      </w:pPr>
    </w:p>
    <w:p w:rsidR="007C2A00" w:rsidRDefault="00930063" w:rsidP="007C2A00">
      <w:pPr>
        <w:autoSpaceDE w:val="0"/>
        <w:autoSpaceDN w:val="0"/>
        <w:adjustRightInd w:val="0"/>
        <w:spacing w:after="0" w:line="240" w:lineRule="auto"/>
        <w:rPr>
          <w:rFonts w:ascii="Cambria" w:hAnsi="Cambria" w:cs="HelveticaNeue-Roman"/>
          <w:color w:val="002060"/>
          <w:sz w:val="24"/>
          <w:szCs w:val="19"/>
        </w:rPr>
      </w:pPr>
      <w:r>
        <w:rPr>
          <w:rFonts w:ascii="Cambria" w:hAnsi="Cambria" w:cs="HelveticaNeue-Roman"/>
          <w:color w:val="002060"/>
          <w:sz w:val="24"/>
          <w:szCs w:val="19"/>
        </w:rPr>
        <w:t xml:space="preserve">el ingreso por publicidad en el sector de la televisión subió un 8,3% respecto a 2020 aunque descendió un 11,6% en comparación con las cifras de 2019. </w:t>
      </w:r>
    </w:p>
    <w:p w:rsidR="00930063" w:rsidRDefault="00930063" w:rsidP="007C2A00">
      <w:pPr>
        <w:autoSpaceDE w:val="0"/>
        <w:autoSpaceDN w:val="0"/>
        <w:adjustRightInd w:val="0"/>
        <w:spacing w:after="0" w:line="240" w:lineRule="auto"/>
        <w:rPr>
          <w:rFonts w:ascii="Cambria" w:hAnsi="Cambria" w:cs="HelveticaNeue-Roman"/>
          <w:color w:val="002060"/>
          <w:sz w:val="24"/>
          <w:szCs w:val="19"/>
        </w:rPr>
      </w:pPr>
    </w:p>
    <w:p w:rsidR="00930063" w:rsidRDefault="00930063" w:rsidP="00930063">
      <w:pPr>
        <w:autoSpaceDE w:val="0"/>
        <w:autoSpaceDN w:val="0"/>
        <w:adjustRightInd w:val="0"/>
        <w:spacing w:after="0" w:line="240" w:lineRule="auto"/>
        <w:rPr>
          <w:rFonts w:ascii="Cambria" w:hAnsi="Cambria" w:cs="HelveticaNeue-Roman"/>
          <w:color w:val="002060"/>
          <w:sz w:val="24"/>
          <w:szCs w:val="19"/>
        </w:rPr>
      </w:pPr>
      <w:r w:rsidRPr="00422DB0">
        <w:rPr>
          <w:rFonts w:ascii="Cambria" w:hAnsi="Cambria" w:cs="HelveticaNeue-Roman"/>
          <w:color w:val="002060"/>
          <w:sz w:val="24"/>
          <w:szCs w:val="19"/>
        </w:rPr>
        <w:t>Durante 2021, vue</w:t>
      </w:r>
      <w:r>
        <w:rPr>
          <w:rFonts w:ascii="Cambria" w:hAnsi="Cambria" w:cs="HelveticaNeue-Roman"/>
          <w:color w:val="002060"/>
          <w:sz w:val="24"/>
          <w:szCs w:val="19"/>
        </w:rPr>
        <w:t xml:space="preserve">lven a </w:t>
      </w:r>
      <w:r w:rsidRPr="00930063">
        <w:rPr>
          <w:rFonts w:ascii="Cambria" w:hAnsi="Cambria" w:cs="HelveticaNeue-Roman"/>
          <w:b/>
          <w:color w:val="002060"/>
          <w:sz w:val="24"/>
          <w:szCs w:val="19"/>
        </w:rPr>
        <w:t>a</w:t>
      </w:r>
      <w:r w:rsidRPr="00854C97">
        <w:rPr>
          <w:rFonts w:ascii="Cambria" w:hAnsi="Cambria" w:cs="HelveticaNeue-Roman"/>
          <w:b/>
          <w:color w:val="002060"/>
          <w:sz w:val="24"/>
          <w:szCs w:val="19"/>
        </w:rPr>
        <w:t>umentar los porcentajes de hogares españoles abonados a las plataformas de vídeo</w:t>
      </w:r>
      <w:r w:rsidRPr="00422DB0">
        <w:rPr>
          <w:rFonts w:ascii="Cambria" w:hAnsi="Cambria" w:cs="HelveticaNeue-Roman"/>
          <w:color w:val="002060"/>
          <w:sz w:val="24"/>
          <w:szCs w:val="19"/>
        </w:rPr>
        <w:t xml:space="preserve">. </w:t>
      </w:r>
      <w:proofErr w:type="spellStart"/>
      <w:r>
        <w:rPr>
          <w:rFonts w:ascii="Cambria" w:hAnsi="Cambria" w:cs="HelveticaNeue-Roman"/>
          <w:color w:val="002060"/>
          <w:sz w:val="24"/>
          <w:szCs w:val="19"/>
        </w:rPr>
        <w:t>Netflix</w:t>
      </w:r>
      <w:proofErr w:type="spellEnd"/>
      <w:r>
        <w:rPr>
          <w:rFonts w:ascii="Cambria" w:hAnsi="Cambria" w:cs="HelveticaNeue-Roman"/>
          <w:color w:val="002060"/>
          <w:sz w:val="24"/>
          <w:szCs w:val="19"/>
        </w:rPr>
        <w:t xml:space="preserve"> lidera las suscripciones</w:t>
      </w:r>
      <w:r w:rsidRPr="00422DB0">
        <w:rPr>
          <w:rFonts w:ascii="Cambria" w:hAnsi="Cambria" w:cs="HelveticaNeue-Roman"/>
          <w:color w:val="002060"/>
          <w:sz w:val="24"/>
          <w:szCs w:val="19"/>
        </w:rPr>
        <w:t xml:space="preserve"> con el 47,6%, cifra que implica un cr</w:t>
      </w:r>
      <w:r>
        <w:rPr>
          <w:rFonts w:ascii="Cambria" w:hAnsi="Cambria" w:cs="HelveticaNeue-Roman"/>
          <w:color w:val="002060"/>
          <w:sz w:val="24"/>
          <w:szCs w:val="19"/>
        </w:rPr>
        <w:t>ecimiento de 12 puntos respecto al año</w:t>
      </w:r>
      <w:r w:rsidRPr="00422DB0">
        <w:rPr>
          <w:rFonts w:ascii="Cambria" w:hAnsi="Cambria" w:cs="HelveticaNeue-Roman"/>
          <w:color w:val="002060"/>
          <w:sz w:val="24"/>
          <w:szCs w:val="19"/>
        </w:rPr>
        <w:t xml:space="preserve"> anterior. La sigue Amazon Prime Video, con el 30,5% de h</w:t>
      </w:r>
      <w:r>
        <w:rPr>
          <w:rFonts w:ascii="Cambria" w:hAnsi="Cambria" w:cs="HelveticaNeue-Roman"/>
          <w:color w:val="002060"/>
          <w:sz w:val="24"/>
          <w:szCs w:val="19"/>
        </w:rPr>
        <w:t xml:space="preserve">ogares abonados y un incremento </w:t>
      </w:r>
      <w:r w:rsidRPr="00422DB0">
        <w:rPr>
          <w:rFonts w:ascii="Cambria" w:hAnsi="Cambria" w:cs="HelveticaNeue-Roman"/>
          <w:color w:val="002060"/>
          <w:sz w:val="24"/>
          <w:szCs w:val="19"/>
        </w:rPr>
        <w:t>aún mayor que en el caso anterior, 13,8 puntos más. En terc</w:t>
      </w:r>
      <w:r>
        <w:rPr>
          <w:rFonts w:ascii="Cambria" w:hAnsi="Cambria" w:cs="HelveticaNeue-Roman"/>
          <w:color w:val="002060"/>
          <w:sz w:val="24"/>
          <w:szCs w:val="19"/>
        </w:rPr>
        <w:t xml:space="preserve">era posición </w:t>
      </w:r>
      <w:r w:rsidRPr="00422DB0">
        <w:rPr>
          <w:rFonts w:ascii="Cambria" w:hAnsi="Cambria" w:cs="HelveticaNeue-Roman"/>
          <w:color w:val="002060"/>
          <w:sz w:val="24"/>
          <w:szCs w:val="19"/>
        </w:rPr>
        <w:t>se mantiene Movistar+, que alcanza el 20,7% de hogares españoles abonados y q</w:t>
      </w:r>
      <w:r>
        <w:rPr>
          <w:rFonts w:ascii="Cambria" w:hAnsi="Cambria" w:cs="HelveticaNeue-Roman"/>
          <w:color w:val="002060"/>
          <w:sz w:val="24"/>
          <w:szCs w:val="19"/>
        </w:rPr>
        <w:t xml:space="preserve">ue gana tres puntos respecto al </w:t>
      </w:r>
      <w:r w:rsidRPr="00422DB0">
        <w:rPr>
          <w:rFonts w:ascii="Cambria" w:hAnsi="Cambria" w:cs="HelveticaNeue-Roman"/>
          <w:color w:val="002060"/>
          <w:sz w:val="24"/>
          <w:szCs w:val="19"/>
        </w:rPr>
        <w:t xml:space="preserve">valor de 2020. </w:t>
      </w:r>
      <w:r>
        <w:rPr>
          <w:rFonts w:ascii="Cambria" w:hAnsi="Cambria" w:cs="HelveticaNeue-Roman"/>
          <w:color w:val="002060"/>
          <w:sz w:val="24"/>
          <w:szCs w:val="19"/>
        </w:rPr>
        <w:t xml:space="preserve">Así, </w:t>
      </w:r>
      <w:r w:rsidRPr="00854C97">
        <w:rPr>
          <w:rFonts w:ascii="Cambria" w:hAnsi="Cambria" w:cs="HelveticaNeue-Roman"/>
          <w:b/>
          <w:color w:val="002060"/>
          <w:sz w:val="24"/>
          <w:szCs w:val="19"/>
        </w:rPr>
        <w:t xml:space="preserve">más de la mitad de la población española visualizó algún contenido audiovisual de esta forma. </w:t>
      </w:r>
      <w:r w:rsidRPr="00854C97">
        <w:rPr>
          <w:rFonts w:ascii="Cambria" w:hAnsi="Cambria" w:cs="HelveticaNeue-Roman"/>
          <w:color w:val="002060"/>
          <w:sz w:val="24"/>
          <w:szCs w:val="19"/>
        </w:rPr>
        <w:t>Dicho porcentaje ha aumentado en 2,8 puntos respecto al de 2020.</w:t>
      </w:r>
    </w:p>
    <w:p w:rsidR="007C2A00" w:rsidRDefault="007C2A00" w:rsidP="007C2A00">
      <w:pPr>
        <w:autoSpaceDE w:val="0"/>
        <w:autoSpaceDN w:val="0"/>
        <w:adjustRightInd w:val="0"/>
        <w:spacing w:after="0" w:line="240" w:lineRule="auto"/>
        <w:rPr>
          <w:rFonts w:ascii="Cambria" w:hAnsi="Cambria" w:cs="HelveticaNeue-Roman"/>
          <w:color w:val="002060"/>
          <w:sz w:val="24"/>
          <w:szCs w:val="19"/>
        </w:rPr>
      </w:pPr>
    </w:p>
    <w:p w:rsidR="007C2A00" w:rsidRDefault="007C2A00" w:rsidP="007C2A00">
      <w:pPr>
        <w:autoSpaceDE w:val="0"/>
        <w:autoSpaceDN w:val="0"/>
        <w:adjustRightInd w:val="0"/>
        <w:spacing w:after="0" w:line="240" w:lineRule="auto"/>
        <w:rPr>
          <w:rFonts w:ascii="Cambria" w:hAnsi="Cambria" w:cs="HelveticaNeue-Roman"/>
          <w:color w:val="002060"/>
          <w:sz w:val="24"/>
          <w:szCs w:val="19"/>
        </w:rPr>
      </w:pPr>
      <w:r>
        <w:rPr>
          <w:rFonts w:ascii="Cambria" w:hAnsi="Cambria" w:cs="HelveticaNeue-Roman"/>
          <w:color w:val="002060"/>
          <w:sz w:val="24"/>
          <w:szCs w:val="19"/>
        </w:rPr>
        <w:t xml:space="preserve">Según datos de EGM, </w:t>
      </w:r>
      <w:r w:rsidRPr="00854C97">
        <w:rPr>
          <w:rFonts w:ascii="Cambria" w:hAnsi="Cambria" w:cs="HelveticaNeue-Roman"/>
          <w:b/>
          <w:color w:val="002060"/>
          <w:sz w:val="24"/>
          <w:szCs w:val="19"/>
        </w:rPr>
        <w:t>el consumo de radio también ha caído</w:t>
      </w:r>
      <w:r>
        <w:rPr>
          <w:rFonts w:ascii="Cambria" w:hAnsi="Cambria" w:cs="HelveticaNeue-Roman"/>
          <w:color w:val="002060"/>
          <w:sz w:val="24"/>
          <w:szCs w:val="19"/>
        </w:rPr>
        <w:t xml:space="preserve"> </w:t>
      </w:r>
      <w:r w:rsidRPr="007C2A00">
        <w:rPr>
          <w:rFonts w:ascii="Cambria" w:hAnsi="Cambria" w:cs="HelveticaNeue-Roman"/>
          <w:color w:val="002060"/>
          <w:sz w:val="24"/>
          <w:szCs w:val="19"/>
        </w:rPr>
        <w:t xml:space="preserve">hasta los 92 minutos por persona y día, dos minutos menos que un año antes. </w:t>
      </w:r>
      <w:r>
        <w:rPr>
          <w:rFonts w:ascii="Cambria" w:hAnsi="Cambria" w:cs="HelveticaNeue-Roman"/>
          <w:color w:val="002060"/>
          <w:sz w:val="24"/>
          <w:szCs w:val="19"/>
        </w:rPr>
        <w:t xml:space="preserve">Además, </w:t>
      </w:r>
      <w:r w:rsidRPr="007C2A00">
        <w:rPr>
          <w:rFonts w:ascii="Cambria" w:hAnsi="Cambria" w:cs="HelveticaNeue-Roman"/>
          <w:color w:val="002060"/>
          <w:sz w:val="24"/>
          <w:szCs w:val="19"/>
        </w:rPr>
        <w:t xml:space="preserve">la audiencia </w:t>
      </w:r>
      <w:r>
        <w:rPr>
          <w:rFonts w:ascii="Cambria" w:hAnsi="Cambria" w:cs="HelveticaNeue-Roman"/>
          <w:color w:val="002060"/>
          <w:sz w:val="24"/>
          <w:szCs w:val="19"/>
        </w:rPr>
        <w:t>ha vuelto a bajar</w:t>
      </w:r>
      <w:r w:rsidRPr="007C2A00">
        <w:rPr>
          <w:rFonts w:ascii="Cambria" w:hAnsi="Cambria" w:cs="HelveticaNeue-Roman"/>
          <w:color w:val="002060"/>
          <w:sz w:val="24"/>
          <w:szCs w:val="19"/>
        </w:rPr>
        <w:t xml:space="preserve"> hasta el</w:t>
      </w:r>
      <w:r>
        <w:rPr>
          <w:rFonts w:ascii="Cambria" w:hAnsi="Cambria" w:cs="HelveticaNeue-Roman"/>
          <w:color w:val="002060"/>
          <w:sz w:val="24"/>
          <w:szCs w:val="19"/>
        </w:rPr>
        <w:t xml:space="preserve"> </w:t>
      </w:r>
      <w:r w:rsidR="00930063">
        <w:rPr>
          <w:rFonts w:ascii="Cambria" w:hAnsi="Cambria" w:cs="HelveticaNeue-Roman"/>
          <w:color w:val="002060"/>
          <w:sz w:val="24"/>
          <w:szCs w:val="19"/>
        </w:rPr>
        <w:t>54,6%, 1 punto</w:t>
      </w:r>
      <w:r>
        <w:rPr>
          <w:rFonts w:ascii="Cambria" w:hAnsi="Cambria" w:cs="HelveticaNeue-Roman"/>
          <w:color w:val="002060"/>
          <w:sz w:val="24"/>
          <w:szCs w:val="19"/>
        </w:rPr>
        <w:t xml:space="preserve"> menos que un </w:t>
      </w:r>
      <w:r w:rsidRPr="007C2A00">
        <w:rPr>
          <w:rFonts w:ascii="Cambria" w:hAnsi="Cambria" w:cs="HelveticaNeue-Roman"/>
          <w:color w:val="002060"/>
          <w:sz w:val="24"/>
          <w:szCs w:val="19"/>
        </w:rPr>
        <w:t>año antes.</w:t>
      </w:r>
      <w:r w:rsidR="00930063">
        <w:rPr>
          <w:rFonts w:ascii="Cambria" w:hAnsi="Cambria" w:cs="HelveticaNeue-Roman"/>
          <w:color w:val="002060"/>
          <w:sz w:val="24"/>
          <w:szCs w:val="19"/>
        </w:rPr>
        <w:t xml:space="preserve"> Los ingresos por publicidad en las ondas aumentaron un 10,8% este año respecto al anterior, pero al igual que sucede con la televisión, no alcanzan las cifras de 2019 y se sitúan en un 14,6% menos que antes de la pandemia.</w:t>
      </w:r>
    </w:p>
    <w:p w:rsidR="007C2A00" w:rsidRDefault="007C2A00" w:rsidP="007C2A00">
      <w:pPr>
        <w:autoSpaceDE w:val="0"/>
        <w:autoSpaceDN w:val="0"/>
        <w:adjustRightInd w:val="0"/>
        <w:spacing w:after="0" w:line="240" w:lineRule="auto"/>
        <w:rPr>
          <w:rFonts w:ascii="Cambria" w:hAnsi="Cambria" w:cs="HelveticaNeue-Roman"/>
          <w:color w:val="002060"/>
          <w:sz w:val="24"/>
          <w:szCs w:val="19"/>
        </w:rPr>
      </w:pPr>
    </w:p>
    <w:p w:rsidR="007C2A00" w:rsidRDefault="007C2A00" w:rsidP="007C2A00">
      <w:pPr>
        <w:autoSpaceDE w:val="0"/>
        <w:autoSpaceDN w:val="0"/>
        <w:adjustRightInd w:val="0"/>
        <w:spacing w:after="0" w:line="240" w:lineRule="auto"/>
        <w:rPr>
          <w:rFonts w:ascii="Cambria" w:hAnsi="Cambria" w:cs="HelveticaNeue-Roman"/>
          <w:color w:val="002060"/>
          <w:sz w:val="24"/>
          <w:szCs w:val="19"/>
        </w:rPr>
      </w:pPr>
      <w:r>
        <w:rPr>
          <w:rFonts w:ascii="Cambria" w:hAnsi="Cambria" w:cs="HelveticaNeue-Roman"/>
          <w:b/>
          <w:color w:val="002060"/>
          <w:sz w:val="24"/>
          <w:szCs w:val="19"/>
        </w:rPr>
        <w:t>Nuevas tecnologías</w:t>
      </w:r>
      <w:r>
        <w:rPr>
          <w:rFonts w:ascii="Cambria" w:hAnsi="Cambria" w:cs="HelveticaNeue-Roman"/>
          <w:b/>
          <w:color w:val="002060"/>
          <w:sz w:val="24"/>
          <w:szCs w:val="19"/>
        </w:rPr>
        <w:br/>
      </w:r>
      <w:r>
        <w:rPr>
          <w:rFonts w:ascii="Cambria" w:hAnsi="Cambria" w:cs="HelveticaNeue-Roman"/>
          <w:color w:val="002060"/>
          <w:sz w:val="24"/>
          <w:szCs w:val="19"/>
        </w:rPr>
        <w:t xml:space="preserve">En cuanto al equipamiento tecnológico de los hogares en España, la televisión sigue siendo el aparato más extendido en 2021. Así lo indican los datos aportados por EGM </w:t>
      </w:r>
      <w:r w:rsidR="00536E41">
        <w:rPr>
          <w:rFonts w:ascii="Cambria" w:hAnsi="Cambria" w:cs="HelveticaNeue-Roman"/>
          <w:color w:val="002060"/>
          <w:sz w:val="24"/>
          <w:szCs w:val="19"/>
        </w:rPr>
        <w:t>qu</w:t>
      </w:r>
      <w:r>
        <w:rPr>
          <w:rFonts w:ascii="Cambria" w:hAnsi="Cambria" w:cs="HelveticaNeue-Roman"/>
          <w:color w:val="002060"/>
          <w:sz w:val="24"/>
          <w:szCs w:val="19"/>
        </w:rPr>
        <w:t>e</w:t>
      </w:r>
      <w:r w:rsidR="00536E41">
        <w:rPr>
          <w:rFonts w:ascii="Cambria" w:hAnsi="Cambria" w:cs="HelveticaNeue-Roman"/>
          <w:color w:val="002060"/>
          <w:sz w:val="24"/>
          <w:szCs w:val="19"/>
        </w:rPr>
        <w:t xml:space="preserve"> sitúan el teléfono móvil en segunda posición mientras que el teléfono fijo continúa la tendencia descendiente de los últimos años. El móvil se convierte en el dispositivo favorito para navegar por Internet</w:t>
      </w:r>
      <w:r w:rsidR="00854C97">
        <w:rPr>
          <w:rFonts w:ascii="Cambria" w:hAnsi="Cambria" w:cs="HelveticaNeue-Roman"/>
          <w:color w:val="002060"/>
          <w:sz w:val="24"/>
          <w:szCs w:val="19"/>
        </w:rPr>
        <w:t xml:space="preserve"> mientras que c</w:t>
      </w:r>
      <w:r w:rsidR="00536E41">
        <w:rPr>
          <w:rFonts w:ascii="Cambria" w:hAnsi="Cambria" w:cs="HelveticaNeue-Roman"/>
          <w:color w:val="002060"/>
          <w:sz w:val="24"/>
          <w:szCs w:val="19"/>
        </w:rPr>
        <w:t xml:space="preserve">ontinúan siendo minoritarios las videoconsolas, las </w:t>
      </w:r>
      <w:proofErr w:type="spellStart"/>
      <w:r w:rsidR="00536E41">
        <w:rPr>
          <w:rFonts w:ascii="Cambria" w:hAnsi="Cambria" w:cs="HelveticaNeue-Roman"/>
          <w:color w:val="002060"/>
          <w:sz w:val="24"/>
          <w:szCs w:val="19"/>
        </w:rPr>
        <w:t>tablets</w:t>
      </w:r>
      <w:proofErr w:type="spellEnd"/>
      <w:r w:rsidR="00536E41">
        <w:rPr>
          <w:rFonts w:ascii="Cambria" w:hAnsi="Cambria" w:cs="HelveticaNeue-Roman"/>
          <w:color w:val="002060"/>
          <w:sz w:val="24"/>
          <w:szCs w:val="19"/>
        </w:rPr>
        <w:t xml:space="preserve"> o los asistentes del hogar. </w:t>
      </w:r>
    </w:p>
    <w:p w:rsidR="00536E41" w:rsidRDefault="00536E41" w:rsidP="007C2A00">
      <w:pPr>
        <w:autoSpaceDE w:val="0"/>
        <w:autoSpaceDN w:val="0"/>
        <w:adjustRightInd w:val="0"/>
        <w:spacing w:after="0" w:line="240" w:lineRule="auto"/>
        <w:rPr>
          <w:rFonts w:ascii="Cambria" w:hAnsi="Cambria" w:cs="HelveticaNeue-Roman"/>
          <w:color w:val="002060"/>
          <w:sz w:val="24"/>
          <w:szCs w:val="19"/>
        </w:rPr>
      </w:pPr>
    </w:p>
    <w:p w:rsidR="00422DB0" w:rsidRPr="00930063" w:rsidRDefault="00536E41" w:rsidP="00905B7D">
      <w:pPr>
        <w:autoSpaceDE w:val="0"/>
        <w:autoSpaceDN w:val="0"/>
        <w:adjustRightInd w:val="0"/>
        <w:spacing w:after="0" w:line="240" w:lineRule="auto"/>
        <w:rPr>
          <w:rFonts w:ascii="Cambria" w:hAnsi="Cambria" w:cs="HelveticaNeue-Roman"/>
          <w:b/>
          <w:color w:val="002060"/>
          <w:sz w:val="24"/>
          <w:szCs w:val="19"/>
        </w:rPr>
      </w:pPr>
      <w:r>
        <w:rPr>
          <w:rFonts w:ascii="Cambria" w:hAnsi="Cambria" w:cs="HelveticaNeue-Roman"/>
          <w:color w:val="002060"/>
          <w:sz w:val="24"/>
          <w:szCs w:val="19"/>
        </w:rPr>
        <w:t xml:space="preserve">Por último, según el análisis de AEVI de 2021, </w:t>
      </w:r>
      <w:r w:rsidRPr="00854C97">
        <w:rPr>
          <w:rFonts w:ascii="Cambria" w:hAnsi="Cambria" w:cs="HelveticaNeue-Roman"/>
          <w:b/>
          <w:color w:val="002060"/>
          <w:sz w:val="24"/>
          <w:szCs w:val="19"/>
        </w:rPr>
        <w:t xml:space="preserve">el sector del videojuego recaudó en España 1.795 millones de euros, un 2,7% más que un año antes. </w:t>
      </w:r>
      <w:r w:rsidRPr="00536E41">
        <w:rPr>
          <w:rFonts w:ascii="Cambria" w:hAnsi="Cambria" w:cs="HelveticaNeue-Roman"/>
          <w:color w:val="002060"/>
          <w:sz w:val="24"/>
          <w:szCs w:val="19"/>
        </w:rPr>
        <w:t xml:space="preserve">De ellos, 913 fueron por </w:t>
      </w:r>
      <w:r>
        <w:rPr>
          <w:rFonts w:ascii="Cambria" w:hAnsi="Cambria" w:cs="HelveticaNeue-Roman"/>
          <w:color w:val="002060"/>
          <w:sz w:val="24"/>
          <w:szCs w:val="19"/>
        </w:rPr>
        <w:t xml:space="preserve">la venta online, lo que implica </w:t>
      </w:r>
      <w:r w:rsidRPr="00536E41">
        <w:rPr>
          <w:rFonts w:ascii="Cambria" w:hAnsi="Cambria" w:cs="HelveticaNeue-Roman"/>
          <w:color w:val="002060"/>
          <w:sz w:val="24"/>
          <w:szCs w:val="19"/>
        </w:rPr>
        <w:t>una disminución del 4,6%, y los restantes 882 millones de euros corresponden al mercado físico, u</w:t>
      </w:r>
      <w:r>
        <w:rPr>
          <w:rFonts w:ascii="Cambria" w:hAnsi="Cambria" w:cs="HelveticaNeue-Roman"/>
          <w:color w:val="002060"/>
          <w:sz w:val="24"/>
          <w:szCs w:val="19"/>
        </w:rPr>
        <w:t>n 11,</w:t>
      </w:r>
      <w:r w:rsidR="00930063">
        <w:rPr>
          <w:rFonts w:ascii="Cambria" w:hAnsi="Cambria" w:cs="HelveticaNeue-Roman"/>
          <w:color w:val="002060"/>
          <w:sz w:val="24"/>
          <w:szCs w:val="19"/>
        </w:rPr>
        <w:t>7</w:t>
      </w:r>
      <w:r>
        <w:rPr>
          <w:rFonts w:ascii="Cambria" w:hAnsi="Cambria" w:cs="HelveticaNeue-Roman"/>
          <w:color w:val="002060"/>
          <w:sz w:val="24"/>
          <w:szCs w:val="19"/>
        </w:rPr>
        <w:t xml:space="preserve">% más </w:t>
      </w:r>
      <w:r w:rsidRPr="00536E41">
        <w:rPr>
          <w:rFonts w:ascii="Cambria" w:hAnsi="Cambria" w:cs="HelveticaNeue-Roman"/>
          <w:color w:val="002060"/>
          <w:sz w:val="24"/>
          <w:szCs w:val="19"/>
        </w:rPr>
        <w:t>que un año antes.</w:t>
      </w:r>
      <w:r w:rsidR="00930063">
        <w:rPr>
          <w:rFonts w:ascii="Cambria" w:hAnsi="Cambria" w:cs="HelveticaNeue-Roman"/>
          <w:color w:val="002060"/>
          <w:sz w:val="24"/>
          <w:szCs w:val="19"/>
        </w:rPr>
        <w:t xml:space="preserve"> </w:t>
      </w:r>
      <w:r w:rsidR="00930063" w:rsidRPr="00930063">
        <w:rPr>
          <w:rFonts w:ascii="Cambria" w:hAnsi="Cambria" w:cs="HelveticaNeue-Roman"/>
          <w:color w:val="002060"/>
          <w:sz w:val="24"/>
          <w:szCs w:val="19"/>
        </w:rPr>
        <w:t>La industria del videojuego, al contrario que el resto de disciplinas analizadas,</w:t>
      </w:r>
      <w:r w:rsidR="00930063" w:rsidRPr="00930063">
        <w:rPr>
          <w:rFonts w:ascii="Cambria" w:hAnsi="Cambria" w:cs="HelveticaNeue-Roman"/>
          <w:b/>
          <w:color w:val="002060"/>
          <w:sz w:val="24"/>
          <w:szCs w:val="19"/>
        </w:rPr>
        <w:t xml:space="preserve"> es la única que supera los datos de consumo de 2019 con un incremento de ventas del 21,4%. </w:t>
      </w:r>
    </w:p>
    <w:p w:rsidR="00422DB0" w:rsidRPr="00905B7D" w:rsidRDefault="00422DB0" w:rsidP="00905B7D">
      <w:pPr>
        <w:autoSpaceDE w:val="0"/>
        <w:autoSpaceDN w:val="0"/>
        <w:adjustRightInd w:val="0"/>
        <w:spacing w:after="0" w:line="240" w:lineRule="auto"/>
        <w:rPr>
          <w:rFonts w:ascii="Cambria" w:hAnsi="Cambria" w:cs="HelveticaNeue-Roman"/>
          <w:color w:val="002060"/>
          <w:sz w:val="24"/>
          <w:szCs w:val="19"/>
        </w:rPr>
      </w:pPr>
    </w:p>
    <w:p w:rsidR="00171B66" w:rsidRPr="00171B66" w:rsidRDefault="00171B66" w:rsidP="00171B66">
      <w:pPr>
        <w:autoSpaceDE w:val="0"/>
        <w:autoSpaceDN w:val="0"/>
        <w:adjustRightInd w:val="0"/>
        <w:spacing w:after="0" w:line="240" w:lineRule="auto"/>
        <w:rPr>
          <w:rFonts w:ascii="Cambria" w:hAnsi="Cambria" w:cs="HelveticaNeue-Roman"/>
          <w:b/>
          <w:color w:val="002060"/>
          <w:sz w:val="24"/>
          <w:szCs w:val="19"/>
        </w:rPr>
      </w:pPr>
      <w:r w:rsidRPr="00171B66">
        <w:rPr>
          <w:rFonts w:ascii="Cambria" w:hAnsi="Cambria" w:cs="HelveticaNeue-Roman"/>
          <w:b/>
          <w:color w:val="002060"/>
          <w:sz w:val="24"/>
          <w:szCs w:val="19"/>
        </w:rPr>
        <w:t>Metodología</w:t>
      </w:r>
    </w:p>
    <w:p w:rsidR="00171B66" w:rsidRDefault="00171B66" w:rsidP="00171B66">
      <w:pPr>
        <w:pStyle w:val="Prrafodelista"/>
        <w:autoSpaceDE w:val="0"/>
        <w:autoSpaceDN w:val="0"/>
        <w:adjustRightInd w:val="0"/>
        <w:spacing w:after="0" w:line="240" w:lineRule="auto"/>
        <w:ind w:left="0"/>
        <w:rPr>
          <w:rFonts w:ascii="Cambria" w:hAnsi="Cambria" w:cs="HelveticaNeue-Roman"/>
          <w:color w:val="002060"/>
          <w:sz w:val="24"/>
          <w:szCs w:val="19"/>
        </w:rPr>
      </w:pPr>
      <w:r>
        <w:rPr>
          <w:rFonts w:ascii="Cambria" w:hAnsi="Cambria" w:cs="HelveticaNeue-Roman"/>
          <w:color w:val="002060"/>
          <w:sz w:val="24"/>
          <w:szCs w:val="19"/>
        </w:rPr>
        <w:t xml:space="preserve">El </w:t>
      </w:r>
      <w:r w:rsidRPr="00171B66">
        <w:rPr>
          <w:rFonts w:ascii="Cambria" w:hAnsi="Cambria" w:cs="HelveticaNeue-Roman"/>
          <w:i/>
          <w:color w:val="002060"/>
          <w:sz w:val="24"/>
          <w:szCs w:val="19"/>
        </w:rPr>
        <w:t>Anuario SGAE 2022</w:t>
      </w:r>
      <w:r w:rsidRPr="00171B66">
        <w:rPr>
          <w:rFonts w:ascii="Cambria" w:hAnsi="Cambria" w:cs="HelveticaNeue-Roman"/>
          <w:color w:val="002060"/>
          <w:sz w:val="24"/>
          <w:szCs w:val="19"/>
        </w:rPr>
        <w:t xml:space="preserve"> ofrece información rigurosa y detallada sobre l</w:t>
      </w:r>
      <w:r w:rsidR="00986582">
        <w:rPr>
          <w:rFonts w:ascii="Cambria" w:hAnsi="Cambria" w:cs="HelveticaNeue-Roman"/>
          <w:color w:val="002060"/>
          <w:sz w:val="24"/>
          <w:szCs w:val="19"/>
        </w:rPr>
        <w:t>os principales sectores de las artes e</w:t>
      </w:r>
      <w:r w:rsidRPr="00171B66">
        <w:rPr>
          <w:rFonts w:ascii="Cambria" w:hAnsi="Cambria" w:cs="HelveticaNeue-Roman"/>
          <w:color w:val="002060"/>
          <w:sz w:val="24"/>
          <w:szCs w:val="19"/>
        </w:rPr>
        <w:t xml:space="preserve">scénicas, musicales y audiovisuales, con decenas de miles de datos numéricos y </w:t>
      </w:r>
      <w:r w:rsidR="00930063" w:rsidRPr="00930063">
        <w:rPr>
          <w:rFonts w:ascii="Cambria" w:hAnsi="Cambria" w:cs="HelveticaNeue-Roman"/>
          <w:color w:val="002060"/>
          <w:sz w:val="24"/>
          <w:szCs w:val="19"/>
        </w:rPr>
        <w:t>331</w:t>
      </w:r>
      <w:r w:rsidRPr="00930063">
        <w:rPr>
          <w:rFonts w:ascii="Cambria" w:hAnsi="Cambria" w:cs="HelveticaNeue-Roman"/>
          <w:color w:val="002060"/>
          <w:sz w:val="24"/>
          <w:szCs w:val="19"/>
        </w:rPr>
        <w:t xml:space="preserve"> </w:t>
      </w:r>
      <w:r w:rsidRPr="00171B66">
        <w:rPr>
          <w:rFonts w:ascii="Cambria" w:hAnsi="Cambria" w:cs="HelveticaNeue-Roman"/>
          <w:color w:val="002060"/>
          <w:sz w:val="24"/>
          <w:szCs w:val="19"/>
        </w:rPr>
        <w:t>gráficos y tablas estadísticas, algunos de elaboración propia. Surge como resultado de un laborioso proceso de captura y tratamiento de datos, compilación de fuentes y análisis de esta información</w:t>
      </w:r>
      <w:r>
        <w:rPr>
          <w:rFonts w:ascii="Cambria" w:hAnsi="Cambria" w:cs="HelveticaNeue-Roman"/>
          <w:color w:val="002060"/>
          <w:sz w:val="24"/>
          <w:szCs w:val="19"/>
        </w:rPr>
        <w:t>, en colaboración con SGAE y CIMEC</w:t>
      </w:r>
      <w:r w:rsidRPr="00171B66">
        <w:rPr>
          <w:rFonts w:ascii="Cambria" w:hAnsi="Cambria" w:cs="HelveticaNeue-Roman"/>
          <w:color w:val="002060"/>
          <w:sz w:val="24"/>
          <w:szCs w:val="19"/>
        </w:rPr>
        <w:t xml:space="preserve">. </w:t>
      </w:r>
    </w:p>
    <w:p w:rsidR="00171B66" w:rsidRDefault="00171B66" w:rsidP="00171B66">
      <w:pPr>
        <w:pStyle w:val="Prrafodelista"/>
        <w:autoSpaceDE w:val="0"/>
        <w:autoSpaceDN w:val="0"/>
        <w:adjustRightInd w:val="0"/>
        <w:spacing w:after="0" w:line="240" w:lineRule="auto"/>
        <w:ind w:left="0"/>
        <w:rPr>
          <w:rFonts w:ascii="Cambria" w:hAnsi="Cambria" w:cs="HelveticaNeue-Roman"/>
          <w:color w:val="002060"/>
          <w:sz w:val="24"/>
          <w:szCs w:val="19"/>
        </w:rPr>
      </w:pPr>
    </w:p>
    <w:p w:rsidR="0073328F" w:rsidRDefault="00171B66" w:rsidP="00171B66">
      <w:pPr>
        <w:pStyle w:val="Prrafodelista"/>
        <w:autoSpaceDE w:val="0"/>
        <w:autoSpaceDN w:val="0"/>
        <w:adjustRightInd w:val="0"/>
        <w:spacing w:after="0" w:line="240" w:lineRule="auto"/>
        <w:ind w:left="0"/>
        <w:rPr>
          <w:rFonts w:ascii="Cambria" w:hAnsi="Cambria" w:cs="HelveticaNeue-Roman"/>
          <w:color w:val="002060"/>
          <w:sz w:val="24"/>
          <w:szCs w:val="19"/>
        </w:rPr>
      </w:pPr>
      <w:r w:rsidRPr="00171B66">
        <w:rPr>
          <w:rFonts w:ascii="Cambria" w:hAnsi="Cambria" w:cs="HelveticaNeue-Roman"/>
          <w:color w:val="002060"/>
          <w:sz w:val="24"/>
          <w:szCs w:val="19"/>
        </w:rPr>
        <w:t xml:space="preserve">En esta edición se han analizado más de </w:t>
      </w:r>
      <w:r w:rsidR="00930063" w:rsidRPr="00930063">
        <w:rPr>
          <w:rFonts w:ascii="Cambria" w:hAnsi="Cambria" w:cs="HelveticaNeue-Roman"/>
          <w:color w:val="002060"/>
          <w:sz w:val="24"/>
          <w:szCs w:val="19"/>
        </w:rPr>
        <w:t>111.000</w:t>
      </w:r>
      <w:r w:rsidRPr="00930063">
        <w:rPr>
          <w:rFonts w:ascii="Cambria" w:hAnsi="Cambria" w:cs="HelveticaNeue-Roman"/>
          <w:color w:val="002060"/>
          <w:sz w:val="24"/>
          <w:szCs w:val="19"/>
        </w:rPr>
        <w:t xml:space="preserve"> </w:t>
      </w:r>
      <w:r w:rsidRPr="00171B66">
        <w:rPr>
          <w:rFonts w:ascii="Cambria" w:hAnsi="Cambria" w:cs="HelveticaNeue-Roman"/>
          <w:color w:val="002060"/>
          <w:sz w:val="24"/>
          <w:szCs w:val="19"/>
        </w:rPr>
        <w:t xml:space="preserve">espectáculos en vivo y </w:t>
      </w:r>
      <w:r w:rsidR="00930063" w:rsidRPr="00930063">
        <w:rPr>
          <w:rFonts w:ascii="Cambria" w:hAnsi="Cambria" w:cs="HelveticaNeue-Roman"/>
          <w:color w:val="002060"/>
          <w:sz w:val="24"/>
          <w:szCs w:val="19"/>
        </w:rPr>
        <w:t>2,38</w:t>
      </w:r>
      <w:r w:rsidRPr="00930063">
        <w:rPr>
          <w:rFonts w:ascii="Cambria" w:hAnsi="Cambria" w:cs="HelveticaNeue-Roman"/>
          <w:color w:val="002060"/>
          <w:sz w:val="24"/>
          <w:szCs w:val="19"/>
        </w:rPr>
        <w:t xml:space="preserve"> </w:t>
      </w:r>
      <w:r w:rsidRPr="00171B66">
        <w:rPr>
          <w:rFonts w:ascii="Cambria" w:hAnsi="Cambria" w:cs="HelveticaNeue-Roman"/>
          <w:color w:val="002060"/>
          <w:sz w:val="24"/>
          <w:szCs w:val="19"/>
        </w:rPr>
        <w:t xml:space="preserve">millones de sesiones cinematográficas. La información aquí recogida despliega un informe que analiza los principales datos de ese sector, destacando sus aspectos </w:t>
      </w:r>
    </w:p>
    <w:p w:rsidR="0073328F" w:rsidRDefault="0073328F" w:rsidP="00171B66">
      <w:pPr>
        <w:pStyle w:val="Prrafodelista"/>
        <w:autoSpaceDE w:val="0"/>
        <w:autoSpaceDN w:val="0"/>
        <w:adjustRightInd w:val="0"/>
        <w:spacing w:after="0" w:line="240" w:lineRule="auto"/>
        <w:ind w:left="0"/>
        <w:rPr>
          <w:rFonts w:ascii="Cambria" w:hAnsi="Cambria" w:cs="HelveticaNeue-Roman"/>
          <w:color w:val="002060"/>
          <w:sz w:val="24"/>
          <w:szCs w:val="19"/>
        </w:rPr>
      </w:pPr>
    </w:p>
    <w:p w:rsidR="00171B66" w:rsidRDefault="00171B66" w:rsidP="00171B66">
      <w:pPr>
        <w:pStyle w:val="Prrafodelista"/>
        <w:autoSpaceDE w:val="0"/>
        <w:autoSpaceDN w:val="0"/>
        <w:adjustRightInd w:val="0"/>
        <w:spacing w:after="0" w:line="240" w:lineRule="auto"/>
        <w:ind w:left="0"/>
        <w:rPr>
          <w:rFonts w:ascii="Cambria" w:hAnsi="Cambria" w:cs="HelveticaNeue-Roman"/>
          <w:color w:val="002060"/>
          <w:sz w:val="24"/>
          <w:szCs w:val="19"/>
        </w:rPr>
      </w:pPr>
      <w:r w:rsidRPr="00171B66">
        <w:rPr>
          <w:rFonts w:ascii="Cambria" w:hAnsi="Cambria" w:cs="HelveticaNeue-Roman"/>
          <w:color w:val="002060"/>
          <w:sz w:val="24"/>
          <w:szCs w:val="19"/>
        </w:rPr>
        <w:t>caracte</w:t>
      </w:r>
      <w:r>
        <w:rPr>
          <w:rFonts w:ascii="Cambria" w:hAnsi="Cambria" w:cs="HelveticaNeue-Roman"/>
          <w:color w:val="002060"/>
          <w:sz w:val="24"/>
          <w:szCs w:val="19"/>
        </w:rPr>
        <w:t>rísticos a lo largo del año 2021</w:t>
      </w:r>
      <w:r w:rsidRPr="00171B66">
        <w:rPr>
          <w:rFonts w:ascii="Cambria" w:hAnsi="Cambria" w:cs="HelveticaNeue-Roman"/>
          <w:color w:val="002060"/>
          <w:sz w:val="24"/>
          <w:szCs w:val="19"/>
        </w:rPr>
        <w:t>, aportando elementos para la comp</w:t>
      </w:r>
      <w:r>
        <w:rPr>
          <w:rFonts w:ascii="Cambria" w:hAnsi="Cambria" w:cs="HelveticaNeue-Roman"/>
          <w:color w:val="002060"/>
          <w:sz w:val="24"/>
          <w:szCs w:val="19"/>
        </w:rPr>
        <w:t>aración con el ejercicio de 2020</w:t>
      </w:r>
      <w:r w:rsidRPr="00171B66">
        <w:rPr>
          <w:rFonts w:ascii="Cambria" w:hAnsi="Cambria" w:cs="HelveticaNeue-Roman"/>
          <w:color w:val="002060"/>
          <w:sz w:val="24"/>
          <w:szCs w:val="19"/>
        </w:rPr>
        <w:t>, y una tendencia de evolución, para cotejar el estado del sector respecto a 2008, cuando alcanzó máximos.</w:t>
      </w:r>
    </w:p>
    <w:p w:rsidR="00171B66" w:rsidRDefault="00171B66" w:rsidP="00171B66">
      <w:pPr>
        <w:pStyle w:val="Prrafodelista"/>
        <w:autoSpaceDE w:val="0"/>
        <w:autoSpaceDN w:val="0"/>
        <w:adjustRightInd w:val="0"/>
        <w:spacing w:after="0" w:line="240" w:lineRule="auto"/>
        <w:ind w:left="0"/>
        <w:rPr>
          <w:rFonts w:ascii="Cambria" w:hAnsi="Cambria" w:cs="HelveticaNeue-Roman"/>
          <w:color w:val="002060"/>
          <w:sz w:val="24"/>
          <w:szCs w:val="19"/>
        </w:rPr>
      </w:pPr>
    </w:p>
    <w:p w:rsidR="00171B66" w:rsidRPr="00171B66" w:rsidRDefault="00171B66" w:rsidP="00171B66">
      <w:pPr>
        <w:pStyle w:val="Prrafodelista"/>
        <w:autoSpaceDE w:val="0"/>
        <w:autoSpaceDN w:val="0"/>
        <w:adjustRightInd w:val="0"/>
        <w:spacing w:after="0" w:line="240" w:lineRule="auto"/>
        <w:ind w:left="0"/>
        <w:rPr>
          <w:rFonts w:ascii="Cambria" w:hAnsi="Cambria" w:cs="HelveticaNeue-Roman"/>
          <w:color w:val="002060"/>
          <w:sz w:val="24"/>
          <w:szCs w:val="19"/>
        </w:rPr>
      </w:pPr>
      <w:r w:rsidRPr="00171B66">
        <w:rPr>
          <w:rFonts w:ascii="Cambria" w:hAnsi="Cambria" w:cs="HelveticaNeue-Roman"/>
          <w:color w:val="002060"/>
          <w:sz w:val="24"/>
          <w:szCs w:val="19"/>
        </w:rPr>
        <w:t>Para poder ofrecer este análisis detallado, en el Anuario se incluyen datos específicos sobre múltiples características de los espectáculos (asistentes, recaudación, precio de las entradas), tratados de modo global y presentando, en algunos casos, clasificaciones significativas (películas más taquilleras, discos más vendidos, producciones escénicas con más público, etcétera).</w:t>
      </w:r>
    </w:p>
    <w:p w:rsidR="00171B66" w:rsidRDefault="00171B66" w:rsidP="00171B66">
      <w:pPr>
        <w:pStyle w:val="Prrafodelista"/>
        <w:autoSpaceDE w:val="0"/>
        <w:autoSpaceDN w:val="0"/>
        <w:adjustRightInd w:val="0"/>
        <w:spacing w:after="0" w:line="240" w:lineRule="auto"/>
        <w:ind w:left="0"/>
        <w:rPr>
          <w:rFonts w:ascii="Cambria" w:hAnsi="Cambria" w:cs="HelveticaNeue-Roman"/>
          <w:b/>
          <w:color w:val="002060"/>
          <w:sz w:val="24"/>
          <w:szCs w:val="19"/>
        </w:rPr>
      </w:pPr>
    </w:p>
    <w:p w:rsidR="00171B66" w:rsidRDefault="00171B66" w:rsidP="00171B66">
      <w:pPr>
        <w:pStyle w:val="Prrafodelista"/>
        <w:autoSpaceDE w:val="0"/>
        <w:autoSpaceDN w:val="0"/>
        <w:adjustRightInd w:val="0"/>
        <w:spacing w:after="0" w:line="240" w:lineRule="auto"/>
        <w:ind w:left="0"/>
        <w:rPr>
          <w:rFonts w:ascii="Cambria" w:hAnsi="Cambria" w:cs="HelveticaNeue-Roman"/>
          <w:b/>
          <w:color w:val="002060"/>
          <w:sz w:val="24"/>
          <w:szCs w:val="19"/>
        </w:rPr>
      </w:pPr>
      <w:r>
        <w:rPr>
          <w:rFonts w:ascii="Cambria" w:hAnsi="Cambria" w:cs="HelveticaNeue-Roman"/>
          <w:b/>
          <w:color w:val="002060"/>
          <w:sz w:val="24"/>
          <w:szCs w:val="19"/>
        </w:rPr>
        <w:t xml:space="preserve">Acerca del Anuario SGAE </w:t>
      </w:r>
    </w:p>
    <w:p w:rsidR="0073328F" w:rsidRDefault="00171B66" w:rsidP="00F301A1">
      <w:pPr>
        <w:pStyle w:val="Prrafodelista"/>
        <w:autoSpaceDE w:val="0"/>
        <w:autoSpaceDN w:val="0"/>
        <w:adjustRightInd w:val="0"/>
        <w:spacing w:after="0" w:line="240" w:lineRule="auto"/>
        <w:ind w:left="0"/>
        <w:rPr>
          <w:rFonts w:ascii="Cambria" w:eastAsia="Times New Roman" w:hAnsi="Cambria" w:cs="Helvetica"/>
          <w:color w:val="002060"/>
          <w:sz w:val="24"/>
          <w:szCs w:val="18"/>
          <w:lang w:eastAsia="es-ES"/>
        </w:rPr>
      </w:pPr>
      <w:r w:rsidRPr="00171B66">
        <w:rPr>
          <w:rFonts w:ascii="Cambria" w:hAnsi="Cambria" w:cs="HelveticaNeue-Roman"/>
          <w:color w:val="002060"/>
          <w:sz w:val="24"/>
          <w:szCs w:val="19"/>
        </w:rPr>
        <w:t>Esta publicación, nacida en 1999, se ha convertido ya en una herramienta fundamental para los estudiosos del mercado cultural español.</w:t>
      </w:r>
      <w:r w:rsidR="00F301A1">
        <w:rPr>
          <w:rFonts w:ascii="Cambria" w:hAnsi="Cambria" w:cs="HelveticaNeue-Roman"/>
          <w:color w:val="002060"/>
          <w:sz w:val="24"/>
          <w:szCs w:val="19"/>
        </w:rPr>
        <w:t xml:space="preserve"> </w:t>
      </w:r>
      <w:r w:rsidR="00F301A1" w:rsidRPr="00DA2114">
        <w:rPr>
          <w:rFonts w:ascii="Cambria" w:eastAsia="Times New Roman" w:hAnsi="Cambria" w:cs="Helvetica"/>
          <w:color w:val="002060"/>
          <w:sz w:val="24"/>
          <w:szCs w:val="18"/>
          <w:lang w:eastAsia="es-ES"/>
        </w:rPr>
        <w:t>Se trata de una investigación consolidada, ya en su vigesimo</w:t>
      </w:r>
      <w:r w:rsidR="00F301A1">
        <w:rPr>
          <w:rFonts w:ascii="Cambria" w:eastAsia="Times New Roman" w:hAnsi="Cambria" w:cs="Helvetica"/>
          <w:color w:val="002060"/>
          <w:sz w:val="24"/>
          <w:szCs w:val="18"/>
          <w:lang w:eastAsia="es-ES"/>
        </w:rPr>
        <w:t>segunda</w:t>
      </w:r>
      <w:r w:rsidR="00F301A1" w:rsidRPr="00DA2114">
        <w:rPr>
          <w:rFonts w:ascii="Cambria" w:eastAsia="Times New Roman" w:hAnsi="Cambria" w:cs="Helvetica"/>
          <w:color w:val="002060"/>
          <w:sz w:val="24"/>
          <w:szCs w:val="18"/>
          <w:lang w:eastAsia="es-ES"/>
        </w:rPr>
        <w:t xml:space="preserve"> edición, que constituye uno de los recursos básicos para conocer diferentes ámbitos del sector cultural</w:t>
      </w:r>
      <w:r w:rsidR="00CD7485">
        <w:rPr>
          <w:rFonts w:ascii="Cambria" w:eastAsia="Times New Roman" w:hAnsi="Cambria" w:cs="Helvetica"/>
          <w:color w:val="002060"/>
          <w:sz w:val="24"/>
          <w:szCs w:val="18"/>
          <w:lang w:eastAsia="es-ES"/>
        </w:rPr>
        <w:t xml:space="preserve"> y permite conocer el estado real del sector en nuestro país. </w:t>
      </w:r>
    </w:p>
    <w:p w:rsidR="00CD7485" w:rsidRDefault="00CD7485" w:rsidP="00F301A1">
      <w:pPr>
        <w:pStyle w:val="Prrafodelista"/>
        <w:autoSpaceDE w:val="0"/>
        <w:autoSpaceDN w:val="0"/>
        <w:adjustRightInd w:val="0"/>
        <w:spacing w:after="0" w:line="240" w:lineRule="auto"/>
        <w:ind w:left="0"/>
        <w:rPr>
          <w:rFonts w:ascii="Cambria" w:eastAsia="Times New Roman" w:hAnsi="Cambria" w:cs="Helvetica"/>
          <w:color w:val="002060"/>
          <w:sz w:val="24"/>
          <w:szCs w:val="18"/>
          <w:lang w:eastAsia="es-ES"/>
        </w:rPr>
      </w:pPr>
    </w:p>
    <w:p w:rsidR="00CD7485" w:rsidRPr="00CD7485" w:rsidRDefault="00CD7485" w:rsidP="00CD7485">
      <w:pPr>
        <w:autoSpaceDE w:val="0"/>
        <w:autoSpaceDN w:val="0"/>
        <w:adjustRightInd w:val="0"/>
        <w:spacing w:after="0" w:line="240" w:lineRule="auto"/>
        <w:rPr>
          <w:rFonts w:ascii="Cambria" w:hAnsi="Cambria" w:cs="HelveticaNeue-Roman"/>
          <w:b/>
          <w:color w:val="002060"/>
          <w:sz w:val="24"/>
          <w:szCs w:val="19"/>
        </w:rPr>
      </w:pPr>
      <w:r>
        <w:rPr>
          <w:rFonts w:ascii="Cambria" w:hAnsi="Cambria" w:cs="HelveticaNeue-Roman"/>
          <w:color w:val="002060"/>
          <w:sz w:val="24"/>
          <w:szCs w:val="19"/>
        </w:rPr>
        <w:t>Consolidado</w:t>
      </w:r>
      <w:r w:rsidRPr="00CD7485">
        <w:rPr>
          <w:rFonts w:ascii="Cambria" w:hAnsi="Cambria" w:cs="HelveticaNeue-Roman"/>
          <w:b/>
          <w:color w:val="002060"/>
          <w:sz w:val="24"/>
          <w:szCs w:val="19"/>
        </w:rPr>
        <w:t xml:space="preserve"> </w:t>
      </w:r>
      <w:r w:rsidRPr="00CD7485">
        <w:rPr>
          <w:rFonts w:ascii="Cambria" w:hAnsi="Cambria" w:cs="HelveticaNeue-Roman"/>
          <w:color w:val="002060"/>
          <w:sz w:val="24"/>
          <w:szCs w:val="19"/>
        </w:rPr>
        <w:t>como uno de los principales</w:t>
      </w:r>
      <w:r>
        <w:rPr>
          <w:rFonts w:ascii="Cambria" w:hAnsi="Cambria" w:cs="HelveticaNeue-Roman"/>
          <w:color w:val="002060"/>
          <w:sz w:val="24"/>
          <w:szCs w:val="19"/>
        </w:rPr>
        <w:t xml:space="preserve"> proyectos de la Fundación SGAE, </w:t>
      </w:r>
      <w:r w:rsidRPr="00CD7485">
        <w:rPr>
          <w:rFonts w:ascii="Cambria" w:hAnsi="Cambria" w:cs="HelveticaNeue-Roman"/>
          <w:color w:val="002060"/>
          <w:sz w:val="24"/>
          <w:szCs w:val="19"/>
        </w:rPr>
        <w:t>el Anuario es la única fuente que ofrece datos estadísticos de asistencia y recaudación en taquilla de las artes en vivo (teatro, danza, lírica, música en directo). Y son esos datos los que nutren a su vez otros estudios e informes.</w:t>
      </w:r>
    </w:p>
    <w:p w:rsidR="0073328F" w:rsidRDefault="0073328F" w:rsidP="0073328F"/>
    <w:p w:rsidR="00CD7485" w:rsidRDefault="00CD7485" w:rsidP="0073328F">
      <w:bookmarkStart w:id="0" w:name="_GoBack"/>
      <w:bookmarkEnd w:id="0"/>
    </w:p>
    <w:p w:rsidR="0073328F" w:rsidRPr="0016628A" w:rsidRDefault="0073328F" w:rsidP="0073328F">
      <w:pPr>
        <w:tabs>
          <w:tab w:val="left" w:pos="2670"/>
        </w:tabs>
        <w:jc w:val="center"/>
        <w:rPr>
          <w:rFonts w:ascii="Cambria" w:hAnsi="Cambria"/>
          <w:color w:val="002060"/>
          <w:sz w:val="32"/>
        </w:rPr>
      </w:pPr>
      <w:r w:rsidRPr="0016628A">
        <w:rPr>
          <w:rFonts w:ascii="Cambria" w:eastAsia="Times New Roman" w:hAnsi="Cambria" w:cs="Helvetica"/>
          <w:b/>
          <w:bCs/>
          <w:color w:val="002060"/>
          <w:szCs w:val="18"/>
        </w:rPr>
        <w:t>Comunicación Fundación SGAE  </w:t>
      </w:r>
      <w:r w:rsidRPr="0016628A">
        <w:rPr>
          <w:rFonts w:ascii="Cambria" w:eastAsia="Times New Roman" w:hAnsi="Cambria" w:cs="Helvetica"/>
          <w:color w:val="002060"/>
          <w:szCs w:val="18"/>
        </w:rPr>
        <w:t xml:space="preserve"> •</w:t>
      </w:r>
      <w:r>
        <w:rPr>
          <w:rFonts w:ascii="Cambria" w:eastAsia="Times New Roman" w:hAnsi="Cambria" w:cs="Helvetica"/>
          <w:color w:val="002060"/>
          <w:szCs w:val="18"/>
        </w:rPr>
        <w:t xml:space="preserve">  </w:t>
      </w:r>
      <w:r>
        <w:rPr>
          <w:rFonts w:ascii="Cambria" w:eastAsia="Times New Roman" w:hAnsi="Cambria" w:cs="Helvetica"/>
          <w:b/>
          <w:color w:val="002060"/>
          <w:szCs w:val="18"/>
        </w:rPr>
        <w:t xml:space="preserve">Andrea </w:t>
      </w:r>
      <w:proofErr w:type="spellStart"/>
      <w:r>
        <w:rPr>
          <w:rFonts w:ascii="Cambria" w:eastAsia="Times New Roman" w:hAnsi="Cambria" w:cs="Helvetica"/>
          <w:b/>
          <w:color w:val="002060"/>
          <w:szCs w:val="18"/>
        </w:rPr>
        <w:t>Rullán</w:t>
      </w:r>
      <w:proofErr w:type="spellEnd"/>
      <w:r>
        <w:rPr>
          <w:rFonts w:ascii="Cambria" w:eastAsia="Times New Roman" w:hAnsi="Cambria" w:cs="Helvetica"/>
          <w:b/>
          <w:color w:val="002060"/>
          <w:szCs w:val="18"/>
        </w:rPr>
        <w:t xml:space="preserve"> </w:t>
      </w:r>
      <w:r w:rsidRPr="0016628A">
        <w:rPr>
          <w:rFonts w:ascii="Cambria" w:eastAsia="Times New Roman" w:hAnsi="Cambria" w:cs="Helvetica"/>
          <w:color w:val="002060"/>
          <w:szCs w:val="18"/>
        </w:rPr>
        <w:br/>
        <w:t>• 683 436 645 •  </w:t>
      </w:r>
      <w:hyperlink r:id="rId8" w:history="1">
        <w:r w:rsidRPr="0016628A">
          <w:rPr>
            <w:rStyle w:val="Hipervnculo"/>
            <w:rFonts w:ascii="Cambria" w:eastAsia="Times New Roman" w:hAnsi="Cambria" w:cs="Helvetica"/>
            <w:color w:val="002060"/>
            <w:szCs w:val="18"/>
          </w:rPr>
          <w:t>prensa@fundacionsgae.org</w:t>
        </w:r>
      </w:hyperlink>
      <w:r w:rsidRPr="0016628A">
        <w:rPr>
          <w:rFonts w:ascii="Cambria" w:eastAsia="Times New Roman" w:hAnsi="Cambria" w:cs="Helvetica"/>
          <w:color w:val="002060"/>
          <w:szCs w:val="18"/>
        </w:rPr>
        <w:t xml:space="preserve"> • @</w:t>
      </w:r>
      <w:proofErr w:type="spellStart"/>
      <w:r w:rsidRPr="0016628A">
        <w:rPr>
          <w:rFonts w:ascii="Cambria" w:eastAsia="Times New Roman" w:hAnsi="Cambria" w:cs="Helvetica"/>
          <w:color w:val="002060"/>
          <w:szCs w:val="18"/>
        </w:rPr>
        <w:t>fundacionsgae</w:t>
      </w:r>
      <w:proofErr w:type="spellEnd"/>
      <w:r w:rsidRPr="0016628A">
        <w:rPr>
          <w:rFonts w:ascii="Cambria" w:eastAsia="Times New Roman" w:hAnsi="Cambria" w:cs="Helvetica"/>
          <w:color w:val="002060"/>
          <w:szCs w:val="18"/>
        </w:rPr>
        <w:t> </w:t>
      </w:r>
      <w:r w:rsidRPr="0016628A">
        <w:rPr>
          <w:rFonts w:ascii="Cambria" w:eastAsia="Times New Roman" w:hAnsi="Cambria" w:cs="Helvetica"/>
          <w:color w:val="002060"/>
          <w:sz w:val="25"/>
          <w:szCs w:val="21"/>
        </w:rPr>
        <w:br/>
      </w:r>
    </w:p>
    <w:p w:rsidR="0073328F" w:rsidRDefault="0073328F" w:rsidP="0073328F">
      <w:pPr>
        <w:tabs>
          <w:tab w:val="left" w:pos="3375"/>
        </w:tabs>
      </w:pPr>
    </w:p>
    <w:p w:rsidR="00171B66" w:rsidRPr="0073328F" w:rsidRDefault="00171B66" w:rsidP="0073328F"/>
    <w:sectPr w:rsidR="00171B66" w:rsidRPr="0073328F" w:rsidSect="0073328F">
      <w:headerReference w:type="default" r:id="rId9"/>
      <w:footerReference w:type="default" r:id="rId10"/>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2894" w:rsidRDefault="00502894" w:rsidP="00502894">
      <w:pPr>
        <w:spacing w:after="0" w:line="240" w:lineRule="auto"/>
      </w:pPr>
      <w:r>
        <w:separator/>
      </w:r>
    </w:p>
  </w:endnote>
  <w:endnote w:type="continuationSeparator" w:id="0">
    <w:p w:rsidR="00502894" w:rsidRDefault="00502894" w:rsidP="00502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Neue-Roman">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894" w:rsidRDefault="00502894" w:rsidP="00502894">
    <w:pPr>
      <w:pStyle w:val="Piedepgina"/>
      <w:jc w:val="center"/>
    </w:pPr>
    <w:r>
      <w:rPr>
        <w:noProof/>
        <w:lang w:eastAsia="es-ES"/>
      </w:rPr>
      <w:drawing>
        <wp:inline distT="0" distB="0" distL="0" distR="0" wp14:anchorId="47CDCD88" wp14:editId="3D52AE67">
          <wp:extent cx="1619250" cy="6953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RTADA CONVOCATORIA PRENSA ANUARIO 2022.jpg"/>
                  <pic:cNvPicPr/>
                </pic:nvPicPr>
                <pic:blipFill rotWithShape="1">
                  <a:blip r:embed="rId1" cstate="print">
                    <a:extLst>
                      <a:ext uri="{28A0092B-C50C-407E-A947-70E740481C1C}">
                        <a14:useLocalDpi xmlns:a14="http://schemas.microsoft.com/office/drawing/2010/main" val="0"/>
                      </a:ext>
                    </a:extLst>
                  </a:blip>
                  <a:srcRect l="53269" t="58244" r="16745" b="20390"/>
                  <a:stretch/>
                </pic:blipFill>
                <pic:spPr bwMode="auto">
                  <a:xfrm>
                    <a:off x="0" y="0"/>
                    <a:ext cx="1619250" cy="6953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2894" w:rsidRDefault="00502894" w:rsidP="00502894">
      <w:pPr>
        <w:spacing w:after="0" w:line="240" w:lineRule="auto"/>
      </w:pPr>
      <w:r>
        <w:separator/>
      </w:r>
    </w:p>
  </w:footnote>
  <w:footnote w:type="continuationSeparator" w:id="0">
    <w:p w:rsidR="00502894" w:rsidRDefault="00502894" w:rsidP="005028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894" w:rsidRDefault="00502894" w:rsidP="00502894">
    <w:pPr>
      <w:pStyle w:val="Encabezado"/>
      <w:tabs>
        <w:tab w:val="clear" w:pos="4252"/>
        <w:tab w:val="clear" w:pos="8504"/>
        <w:tab w:val="left" w:pos="6855"/>
      </w:tabs>
      <w:jc w:val="center"/>
    </w:pPr>
    <w:r>
      <w:rPr>
        <w:noProof/>
        <w:lang w:eastAsia="es-ES"/>
      </w:rPr>
      <w:drawing>
        <wp:anchor distT="0" distB="0" distL="114300" distR="114300" simplePos="0" relativeHeight="251658240" behindDoc="0" locked="0" layoutInCell="1" allowOverlap="1">
          <wp:simplePos x="0" y="0"/>
          <wp:positionH relativeFrom="column">
            <wp:posOffset>1672590</wp:posOffset>
          </wp:positionH>
          <wp:positionV relativeFrom="paragraph">
            <wp:posOffset>-268605</wp:posOffset>
          </wp:positionV>
          <wp:extent cx="2057400" cy="781050"/>
          <wp:effectExtent l="0" t="0" r="0" b="0"/>
          <wp:wrapThrough wrapText="bothSides">
            <wp:wrapPolygon edited="0">
              <wp:start x="0" y="0"/>
              <wp:lineTo x="0" y="21073"/>
              <wp:lineTo x="21400" y="21073"/>
              <wp:lineTo x="2140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CONVOCATORIA PRENSA ANUARIO 2022.jpg"/>
                  <pic:cNvPicPr/>
                </pic:nvPicPr>
                <pic:blipFill rotWithShape="1">
                  <a:blip r:embed="rId1" cstate="print">
                    <a:extLst>
                      <a:ext uri="{28A0092B-C50C-407E-A947-70E740481C1C}">
                        <a14:useLocalDpi xmlns:a14="http://schemas.microsoft.com/office/drawing/2010/main" val="0"/>
                      </a:ext>
                    </a:extLst>
                  </a:blip>
                  <a:srcRect l="48342" t="16001" r="3089" b="51196"/>
                  <a:stretch/>
                </pic:blipFill>
                <pic:spPr bwMode="auto">
                  <a:xfrm>
                    <a:off x="0" y="0"/>
                    <a:ext cx="2057400" cy="781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57136E"/>
    <w:multiLevelType w:val="hybridMultilevel"/>
    <w:tmpl w:val="EE249EBC"/>
    <w:lvl w:ilvl="0" w:tplc="1CF65E80">
      <w:numFmt w:val="bullet"/>
      <w:lvlText w:val="-"/>
      <w:lvlJc w:val="left"/>
      <w:pPr>
        <w:ind w:left="720" w:hanging="360"/>
      </w:pPr>
      <w:rPr>
        <w:rFonts w:ascii="Cambria" w:eastAsiaTheme="minorHAnsi" w:hAnsi="Cambria" w:cs="HelveticaNeue-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56431F9D"/>
    <w:multiLevelType w:val="hybridMultilevel"/>
    <w:tmpl w:val="05D28932"/>
    <w:lvl w:ilvl="0" w:tplc="55D2F404">
      <w:numFmt w:val="bullet"/>
      <w:lvlText w:val="-"/>
      <w:lvlJc w:val="left"/>
      <w:pPr>
        <w:ind w:left="720" w:hanging="360"/>
      </w:pPr>
      <w:rPr>
        <w:rFonts w:ascii="Cambria" w:eastAsiaTheme="minorHAnsi" w:hAnsi="Cambria" w:cs="HelveticaNeue-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6CB5F6C"/>
    <w:multiLevelType w:val="hybridMultilevel"/>
    <w:tmpl w:val="016CEFC8"/>
    <w:lvl w:ilvl="0" w:tplc="1FEE435E">
      <w:numFmt w:val="bullet"/>
      <w:lvlText w:val="-"/>
      <w:lvlJc w:val="left"/>
      <w:pPr>
        <w:ind w:left="720" w:hanging="360"/>
      </w:pPr>
      <w:rPr>
        <w:rFonts w:ascii="Cambria" w:eastAsiaTheme="minorHAnsi" w:hAnsi="Cambria" w:cs="HelveticaNeue-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1C0"/>
    <w:rsid w:val="00016D4B"/>
    <w:rsid w:val="00022C53"/>
    <w:rsid w:val="000321C0"/>
    <w:rsid w:val="00036E9D"/>
    <w:rsid w:val="00171B66"/>
    <w:rsid w:val="0027344B"/>
    <w:rsid w:val="00286058"/>
    <w:rsid w:val="003222D6"/>
    <w:rsid w:val="00422087"/>
    <w:rsid w:val="00422DB0"/>
    <w:rsid w:val="00502894"/>
    <w:rsid w:val="00536E41"/>
    <w:rsid w:val="00591091"/>
    <w:rsid w:val="005B50FD"/>
    <w:rsid w:val="0073328F"/>
    <w:rsid w:val="00734855"/>
    <w:rsid w:val="007C2A00"/>
    <w:rsid w:val="00854C97"/>
    <w:rsid w:val="00905B7D"/>
    <w:rsid w:val="00930063"/>
    <w:rsid w:val="009829EF"/>
    <w:rsid w:val="00986582"/>
    <w:rsid w:val="009F6BF2"/>
    <w:rsid w:val="00A36BEF"/>
    <w:rsid w:val="00B37CCB"/>
    <w:rsid w:val="00B7435F"/>
    <w:rsid w:val="00BC0244"/>
    <w:rsid w:val="00BF03CC"/>
    <w:rsid w:val="00C811B0"/>
    <w:rsid w:val="00CA3C42"/>
    <w:rsid w:val="00CD7485"/>
    <w:rsid w:val="00DA2114"/>
    <w:rsid w:val="00E8406F"/>
    <w:rsid w:val="00F301A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58FF62"/>
  <w15:chartTrackingRefBased/>
  <w15:docId w15:val="{0259C2EC-44CE-43A2-BCF8-B2C739238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71B66"/>
    <w:pPr>
      <w:ind w:left="720"/>
      <w:contextualSpacing/>
    </w:pPr>
  </w:style>
  <w:style w:type="paragraph" w:styleId="Textodeglobo">
    <w:name w:val="Balloon Text"/>
    <w:basedOn w:val="Normal"/>
    <w:link w:val="TextodegloboCar"/>
    <w:uiPriority w:val="99"/>
    <w:semiHidden/>
    <w:unhideWhenUsed/>
    <w:rsid w:val="00B7435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435F"/>
    <w:rPr>
      <w:rFonts w:ascii="Segoe UI" w:hAnsi="Segoe UI" w:cs="Segoe UI"/>
      <w:sz w:val="18"/>
      <w:szCs w:val="18"/>
    </w:rPr>
  </w:style>
  <w:style w:type="paragraph" w:styleId="Encabezado">
    <w:name w:val="header"/>
    <w:basedOn w:val="Normal"/>
    <w:link w:val="EncabezadoCar"/>
    <w:uiPriority w:val="99"/>
    <w:unhideWhenUsed/>
    <w:rsid w:val="0050289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02894"/>
  </w:style>
  <w:style w:type="paragraph" w:styleId="Piedepgina">
    <w:name w:val="footer"/>
    <w:basedOn w:val="Normal"/>
    <w:link w:val="PiedepginaCar"/>
    <w:uiPriority w:val="99"/>
    <w:unhideWhenUsed/>
    <w:rsid w:val="0050289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02894"/>
  </w:style>
  <w:style w:type="character" w:styleId="Hipervnculo">
    <w:name w:val="Hyperlink"/>
    <w:basedOn w:val="Fuentedeprrafopredeter"/>
    <w:uiPriority w:val="99"/>
    <w:unhideWhenUsed/>
    <w:rsid w:val="0073328F"/>
    <w:rPr>
      <w:color w:val="0563C1" w:themeColor="hyperlink"/>
      <w:u w:val="single"/>
    </w:rPr>
  </w:style>
  <w:style w:type="paragraph" w:styleId="Sinespaciado">
    <w:name w:val="No Spacing"/>
    <w:link w:val="SinespaciadoCar"/>
    <w:uiPriority w:val="1"/>
    <w:qFormat/>
    <w:rsid w:val="0073328F"/>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73328F"/>
    <w:rPr>
      <w:rFonts w:eastAsiaTheme="minorEastAsia"/>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nsa@fundacionsgae.org"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1905</Words>
  <Characters>10482</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Rullan de San Andres</dc:creator>
  <cp:keywords/>
  <dc:description/>
  <cp:lastModifiedBy>Andrea Rullan de San Andres</cp:lastModifiedBy>
  <cp:revision>4</cp:revision>
  <cp:lastPrinted>2022-10-25T13:14:00Z</cp:lastPrinted>
  <dcterms:created xsi:type="dcterms:W3CDTF">2022-10-25T14:56:00Z</dcterms:created>
  <dcterms:modified xsi:type="dcterms:W3CDTF">2022-10-25T16:46:00Z</dcterms:modified>
</cp:coreProperties>
</file>